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spacing w:after="0" w:before="200" w:line="240" w:lineRule="auto"/>
        <w:ind w:firstLine="720"/>
        <w:jc w:val="center"/>
        <w:rPr>
          <w:sz w:val="28"/>
          <w:szCs w:val="28"/>
        </w:rPr>
      </w:pPr>
      <w:bookmarkStart w:colFirst="0" w:colLast="0" w:name="_heading=h.ilkrdf9gy7xz" w:id="0"/>
      <w:bookmarkEnd w:id="0"/>
      <w:r w:rsidDel="00000000" w:rsidR="00000000" w:rsidRPr="00000000">
        <w:rPr>
          <w:sz w:val="28"/>
          <w:szCs w:val="28"/>
          <w:rtl w:val="0"/>
        </w:rPr>
        <w:t xml:space="preserve">VOZES SILENCIADAS</w:t>
      </w:r>
      <w:r w:rsidDel="00000000" w:rsidR="00000000" w:rsidRPr="00000000">
        <w:rPr>
          <w:sz w:val="28"/>
          <w:szCs w:val="28"/>
          <w:rtl w:val="0"/>
        </w:rPr>
        <w:t xml:space="preserve">: A Migração Negra e a Sua História em São </w:t>
      </w:r>
      <w:r w:rsidDel="00000000" w:rsidR="00000000" w:rsidRPr="00000000">
        <w:rPr>
          <w:sz w:val="28"/>
          <w:szCs w:val="28"/>
          <w:rtl w:val="0"/>
        </w:rPr>
        <w:t xml:space="preserve">Gonçalo</w:t>
      </w:r>
      <w:r w:rsidDel="00000000" w:rsidR="00000000" w:rsidRPr="00000000">
        <w:rPr>
          <w:sz w:val="28"/>
          <w:szCs w:val="28"/>
          <w:rtl w:val="0"/>
        </w:rPr>
        <w:t xml:space="preserve"> no Ensino de Geografia</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SILENCED VOICES: Black Migration and Its History in São Gonçalo in Geography Teaching</w:t>
      </w:r>
      <w:r w:rsidDel="00000000" w:rsidR="00000000" w:rsidRPr="00000000">
        <w:rPr>
          <w:rtl w:val="0"/>
        </w:rPr>
      </w:r>
    </w:p>
    <w:p w:rsidR="00000000" w:rsidDel="00000000" w:rsidP="00000000" w:rsidRDefault="00000000" w:rsidRPr="00000000" w14:paraId="00000005">
      <w:pPr>
        <w:jc w:val="center"/>
        <w:rPr>
          <w:b w:val="1"/>
          <w:sz w:val="26"/>
          <w:szCs w:val="26"/>
        </w:rPr>
      </w:pPr>
      <w:r w:rsidDel="00000000" w:rsidR="00000000" w:rsidRPr="00000000">
        <w:rPr>
          <w:rtl w:val="0"/>
        </w:rPr>
      </w:r>
    </w:p>
    <w:p w:rsidR="00000000" w:rsidDel="00000000" w:rsidP="00000000" w:rsidRDefault="00000000" w:rsidRPr="00000000" w14:paraId="00000006">
      <w:pPr>
        <w:widowControl w:val="0"/>
        <w:spacing w:after="0" w:before="0" w:line="240" w:lineRule="auto"/>
        <w:jc w:val="right"/>
        <w:rPr>
          <w:rFonts w:ascii="Arial" w:cs="Arial" w:eastAsia="Arial" w:hAnsi="Arial"/>
          <w:sz w:val="24"/>
          <w:szCs w:val="24"/>
        </w:rPr>
      </w:pPr>
      <w:r w:rsidDel="00000000" w:rsidR="00000000" w:rsidRPr="00000000">
        <w:rPr>
          <w:rFonts w:ascii="Arial" w:cs="Arial" w:eastAsia="Arial" w:hAnsi="Arial"/>
          <w:sz w:val="24"/>
          <w:szCs w:val="24"/>
          <w:rtl w:val="0"/>
        </w:rPr>
        <w:t xml:space="preserve">Lucas Domingos da Silva, Departamento de Geografia - UERJ-FFP, </w:t>
      </w:r>
      <w:hyperlink r:id="rId7">
        <w:r w:rsidDel="00000000" w:rsidR="00000000" w:rsidRPr="00000000">
          <w:rPr>
            <w:rFonts w:ascii="Arial" w:cs="Arial" w:eastAsia="Arial" w:hAnsi="Arial"/>
            <w:color w:val="1155cc"/>
            <w:sz w:val="24"/>
            <w:szCs w:val="24"/>
            <w:u w:val="single"/>
            <w:rtl w:val="0"/>
          </w:rPr>
          <w:t xml:space="preserve">aeoza91@gmail.com</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07">
      <w:pPr>
        <w:widowControl w:val="0"/>
        <w:spacing w:after="0" w:before="0" w:line="240" w:lineRule="auto"/>
        <w:ind w:left="0" w:firstLine="0"/>
        <w:jc w:val="right"/>
        <w:rPr>
          <w:rFonts w:ascii="Arial" w:cs="Arial" w:eastAsia="Arial" w:hAnsi="Arial"/>
          <w:sz w:val="24"/>
          <w:szCs w:val="24"/>
          <w:u w:val="single"/>
        </w:rPr>
      </w:pPr>
      <w:r w:rsidDel="00000000" w:rsidR="00000000" w:rsidRPr="00000000">
        <w:rPr>
          <w:rFonts w:ascii="Arial" w:cs="Arial" w:eastAsia="Arial" w:hAnsi="Arial"/>
          <w:sz w:val="24"/>
          <w:szCs w:val="24"/>
          <w:rtl w:val="0"/>
        </w:rPr>
        <w:t xml:space="preserve">Davi Laurentino da Silva, Departamento de Geografia - UERJ-FFP, </w:t>
      </w:r>
      <w:hyperlink r:id="rId8">
        <w:r w:rsidDel="00000000" w:rsidR="00000000" w:rsidRPr="00000000">
          <w:rPr>
            <w:rFonts w:ascii="Arial" w:cs="Arial" w:eastAsia="Arial" w:hAnsi="Arial"/>
            <w:color w:val="1155cc"/>
            <w:sz w:val="24"/>
            <w:szCs w:val="24"/>
            <w:u w:val="single"/>
            <w:rtl w:val="0"/>
          </w:rPr>
          <w:t xml:space="preserve">davilaurentinogeo@gmail.com</w:t>
        </w:r>
      </w:hyperlink>
      <w:r w:rsidDel="00000000" w:rsidR="00000000" w:rsidRPr="00000000">
        <w:rPr>
          <w:rtl w:val="0"/>
        </w:rPr>
      </w:r>
    </w:p>
    <w:p w:rsidR="00000000" w:rsidDel="00000000" w:rsidP="00000000" w:rsidRDefault="00000000" w:rsidRPr="00000000" w14:paraId="00000008">
      <w:pPr>
        <w:widowControl w:val="0"/>
        <w:spacing w:after="0" w:before="0" w:line="240" w:lineRule="auto"/>
        <w:ind w:left="0" w:firstLine="0"/>
        <w:jc w:val="right"/>
        <w:rPr>
          <w:rFonts w:ascii="Arial" w:cs="Arial" w:eastAsia="Arial" w:hAnsi="Arial"/>
          <w:sz w:val="24"/>
          <w:szCs w:val="24"/>
        </w:rPr>
      </w:pPr>
      <w:r w:rsidDel="00000000" w:rsidR="00000000" w:rsidRPr="00000000">
        <w:rPr>
          <w:rFonts w:ascii="Arial" w:cs="Arial" w:eastAsia="Arial" w:hAnsi="Arial"/>
          <w:sz w:val="24"/>
          <w:szCs w:val="24"/>
          <w:rtl w:val="0"/>
        </w:rPr>
        <w:t xml:space="preserve">Ana Claudia Ramos Sacramento, Departamento de Geografia - UERJ-FFP, </w:t>
      </w:r>
      <w:hyperlink r:id="rId9">
        <w:r w:rsidDel="00000000" w:rsidR="00000000" w:rsidRPr="00000000">
          <w:rPr>
            <w:rFonts w:ascii="Arial" w:cs="Arial" w:eastAsia="Arial" w:hAnsi="Arial"/>
            <w:color w:val="1155cc"/>
            <w:sz w:val="24"/>
            <w:szCs w:val="24"/>
            <w:u w:val="single"/>
            <w:rtl w:val="0"/>
          </w:rPr>
          <w:t xml:space="preserve">ana.sacramento@uerj.br</w:t>
        </w:r>
      </w:hyperlink>
      <w:r w:rsidDel="00000000" w:rsidR="00000000" w:rsidRPr="00000000">
        <w:rPr>
          <w:rtl w:val="0"/>
        </w:rPr>
      </w:r>
    </w:p>
    <w:p w:rsidR="00000000" w:rsidDel="00000000" w:rsidP="00000000" w:rsidRDefault="00000000" w:rsidRPr="00000000" w14:paraId="00000009">
      <w:pPr>
        <w:widowControl w:val="0"/>
        <w:spacing w:after="0" w:before="0" w:line="240" w:lineRule="auto"/>
        <w:ind w:left="0" w:firstLine="0"/>
        <w:jc w:val="left"/>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0A">
      <w:pPr>
        <w:widowControl w:val="0"/>
        <w:spacing w:after="0" w:before="0" w:line="240" w:lineRule="auto"/>
        <w:ind w:left="0" w:firstLine="0"/>
        <w:jc w:val="right"/>
        <w:rPr>
          <w:rFonts w:ascii="Arial" w:cs="Arial" w:eastAsia="Arial" w:hAnsi="Arial"/>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p>
    <w:p w:rsidR="00000000" w:rsidDel="00000000" w:rsidP="00000000" w:rsidRDefault="00000000" w:rsidRPr="00000000" w14:paraId="0000000C">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migração de população negra, especialmente durante o período colonial, é um aspecto que marcou a história, com os negros sendo obrigados a deixar suas terras de origem e sendo escravizados. No Brasil, a falta de políticas públicas para integrar os ex-escravizados gerou marginalização e a formação de favelas. Em São Gonçalo-RJ, o processo de urbanização e a migração interna, especialmente de nordestinos, acentuaram a desigualdade social e a segregação. O racismo estrutural continua afetando as condições de vida dos negros na cidade, com a periferia sendo predominantemente habitada por essa população. A pesquisa qualitativa tendo como metodologia a oficina sobre migração negra na cidade sendo desenvolvida com alunos do 7º ano anos finais do ensino fundamental da EM Professora Aurelina Dias Cavalcanti na mesma cidade, teve como objetivo refletir sobre o impacto dessas migrações e os desafios enfrentados pelas comunidades negras. Os alunos participaram de discussões sobre migração, racismo e condições de vida em áreas periféricas, acompanhando a persistência de desigualdades históricas.</w:t>
      </w:r>
    </w:p>
    <w:p w:rsidR="00000000" w:rsidDel="00000000" w:rsidP="00000000" w:rsidRDefault="00000000" w:rsidRPr="00000000" w14:paraId="0000000D">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Migração Negra; Racismo Estrutural; Escravidão; São Gonçalo; Segregação Socioespacial.</w:t>
      </w:r>
    </w:p>
    <w:p w:rsidR="00000000" w:rsidDel="00000000" w:rsidP="00000000" w:rsidRDefault="00000000" w:rsidRPr="00000000" w14:paraId="0000000E">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00F">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color w:val="1f1f1f"/>
          <w:sz w:val="24"/>
          <w:szCs w:val="24"/>
          <w:rtl w:val="0"/>
        </w:rPr>
        <w:t xml:space="preserve">TThe migration of the black population, especially during the colonial period, is an aspect that has marked history, with black people being forced to leave their homelands and being enslaved. In Brazil, the lack of public policies to integrate former slaves led to marginalization and the formation of slums. In São Gonçalo-RJ, the process of urbanization and internal migration, especially of people from the Northeast, have accentuated social inequality and segregation. Structural racism continues to affect the living conditions of black people in the city, with the outskirts being predominantly inhabited by this population. The qualitative research, using the workshop on black migration in the city as its methodology, was developed with 7th grade students from EM Professora Aurelina Dias Cavalcanti in the same city, and aimed to reflect on the impact of these migrations and the challenges faced by black communities. The students participated in discussions about migration, racism and living conditions in peripheral areas, following the persistence of historical inequalities.</w:t>
      </w:r>
      <w:r w:rsidDel="00000000" w:rsidR="00000000" w:rsidRPr="00000000">
        <w:rPr>
          <w:rtl w:val="0"/>
        </w:rPr>
      </w:r>
    </w:p>
    <w:p w:rsidR="00000000" w:rsidDel="00000000" w:rsidP="00000000" w:rsidRDefault="00000000" w:rsidRPr="00000000" w14:paraId="00000010">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color w:val="1f1f1f"/>
          <w:sz w:val="24"/>
          <w:szCs w:val="24"/>
          <w:rtl w:val="0"/>
        </w:rPr>
        <w:t xml:space="preserve">Black Migration; Structural Racism; Slavery; São Gonçalo; Sociospatial Segregation.</w:t>
      </w:r>
      <w:r w:rsidDel="00000000" w:rsidR="00000000" w:rsidRPr="00000000">
        <w:rPr>
          <w:rtl w:val="0"/>
        </w:rPr>
      </w:r>
    </w:p>
    <w:p w:rsidR="00000000" w:rsidDel="00000000" w:rsidP="00000000" w:rsidRDefault="00000000" w:rsidRPr="00000000" w14:paraId="00000011">
      <w:pPr>
        <w:spacing w:after="240" w:before="240" w:lineRule="auto"/>
        <w:jc w:val="both"/>
        <w:rPr>
          <w:rFonts w:ascii="Arial" w:cs="Arial" w:eastAsia="Arial" w:hAnsi="Arial"/>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2"/>
        <w:keepNext w:val="0"/>
        <w:keepLines w:val="0"/>
        <w:spacing w:line="360" w:lineRule="auto"/>
        <w:jc w:val="both"/>
        <w:rPr>
          <w:rFonts w:ascii="Arial" w:cs="Arial" w:eastAsia="Arial" w:hAnsi="Arial"/>
          <w:sz w:val="24"/>
          <w:szCs w:val="24"/>
        </w:rPr>
      </w:pPr>
      <w:bookmarkStart w:colFirst="0" w:colLast="0" w:name="_heading=h.ee76crftdqah" w:id="1"/>
      <w:bookmarkEnd w:id="1"/>
      <w:r w:rsidDel="00000000" w:rsidR="00000000" w:rsidRPr="00000000">
        <w:rPr>
          <w:rFonts w:ascii="Arial" w:cs="Arial" w:eastAsia="Arial" w:hAnsi="Arial"/>
          <w:sz w:val="24"/>
          <w:szCs w:val="24"/>
          <w:rtl w:val="0"/>
        </w:rPr>
        <w:t xml:space="preserve">1. Introdução</w:t>
      </w:r>
    </w:p>
    <w:p w:rsidR="00000000" w:rsidDel="00000000" w:rsidP="00000000" w:rsidRDefault="00000000" w:rsidRPr="00000000" w14:paraId="00000013">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migração de populações negras é um fato presente ao longo da trajetória da humanidade, caracterizada pelo deslocamento forçado de grupos negros, isto é homens, mulheres e crianças forçadamente levados de suas regiões de origem para outras partes do mundo, Santiago, Júnior e Souza (2018).</w:t>
      </w:r>
    </w:p>
    <w:p w:rsidR="00000000" w:rsidDel="00000000" w:rsidP="00000000" w:rsidRDefault="00000000" w:rsidRPr="00000000" w14:paraId="00000014">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Nesse viés, no fenômeno das migrações, o racismo configura como um mecanismo para legitimar a supremacia dos povos brancos, servindo como justificativa para a exploração da população negra e sua transformação em mercadoria durante o período colonial (MBEMBE, 2018). O período pós-abolição restringiu-se à concessão da liberdade, sem a adoção de políticas sociais que garantisse a integração da população negra à sociedade, em concordância Goés (2019) enfatiza que os povos escravizados não foram integrados ao mercado de trabalho e foram marginalizados da economia capitalista após a abolição. Por conseguinte, sem acesso a recursos financeiros ou oportunidades econômicas, muitos foram obrigados a criar seus próprios espaços de moradia, dando origem às favelas e cortiços (MOREIRA, 2020). </w:t>
      </w:r>
    </w:p>
    <w:p w:rsidR="00000000" w:rsidDel="00000000" w:rsidP="00000000" w:rsidRDefault="00000000" w:rsidRPr="00000000" w14:paraId="00000015">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Ao analisar o perfil dos migrantes no Brasil, observa que, devido a um racismo estrutural, as políticas discriminatórias se tornam mais intensas, excluindo e marginalizando os migrantes negros, que vivenciam a interseção entre migração e racismo (TOURINHO; SOTERO, 2023). Partindo dessa compreensão sobre as migrações negras no contexto brasileiro, esse processo abrange uma continuidade entre passado e presente, tendo como objeto de estudo a cidade de São Gonçalo, localizada na Região Metropolitana do Rio de Janeiro (RMRJ). Pinho (2006) destaca que a formação do município de São Gonçalo está profundamente conectada ao processo de modernização da RMRJ. No entanto, para o autor, não é evidente que os problemas urbanos sejam encarados como resultado desse processo de modernização e integração metropolitana, sendo frequentemente interpretados como consequências de uma "demora" ou "atraso". De acordo com o mesmo autor, o crescimento de São Gonçalo, impulsionado pela urbanização da metrópole carioca a partir dos anos 1940, fez da cidade um polo de mão-de-obra barata, predominantemente composta por imigrantes nordestinos. Nos anos 1950, a cidade também se destacou como um polo industrial e um centro de citricultura. A urbanização transformou as estruturas sociais tradicionais e, simultaneamente, atraíram um grande número de pessoas para a cidade. Ao se estabelecerem, elas passaram a ocupar posições subordinadas no mercado de trabalho, na política e no acesso a direitos e recursos. Como consequência, essas áreas passaram a estar inseridas de maneira desigual no espaço público e nos sistemas que garantem a cidadania, a participação política e o acesso aos benefícios da modernização e do desenvolvimento econômico. (PINHO, 2006)</w:t>
      </w:r>
    </w:p>
    <w:p w:rsidR="00000000" w:rsidDel="00000000" w:rsidP="00000000" w:rsidRDefault="00000000" w:rsidRPr="00000000" w14:paraId="00000016">
      <w:pPr>
        <w:spacing w:after="0" w:before="0" w:line="360" w:lineRule="auto"/>
        <w:ind w:left="0" w:firstLine="0"/>
        <w:jc w:val="both"/>
        <w:rPr>
          <w:rFonts w:ascii="Arial" w:cs="Arial" w:eastAsia="Arial" w:hAnsi="Arial"/>
          <w:sz w:val="20"/>
          <w:szCs w:val="20"/>
        </w:rPr>
      </w:pPr>
      <w:r w:rsidDel="00000000" w:rsidR="00000000" w:rsidRPr="00000000">
        <w:rPr>
          <w:rFonts w:ascii="Arial" w:cs="Arial" w:eastAsia="Arial" w:hAnsi="Arial"/>
          <w:sz w:val="24"/>
          <w:szCs w:val="24"/>
          <w:rtl w:val="0"/>
        </w:rPr>
        <w:tab/>
        <w:t xml:space="preserve">De tal maneira, </w:t>
      </w:r>
      <w:r w:rsidDel="00000000" w:rsidR="00000000" w:rsidRPr="00000000">
        <w:rPr>
          <w:rFonts w:ascii="Arial" w:cs="Arial" w:eastAsia="Arial" w:hAnsi="Arial"/>
          <w:sz w:val="24"/>
          <w:szCs w:val="24"/>
          <w:rtl w:val="0"/>
        </w:rPr>
        <w:t xml:space="preserve">Corrêa (2004) </w:t>
      </w:r>
      <w:r w:rsidDel="00000000" w:rsidR="00000000" w:rsidRPr="00000000">
        <w:rPr>
          <w:rFonts w:ascii="Arial" w:cs="Arial" w:eastAsia="Arial" w:hAnsi="Arial"/>
          <w:i w:val="1"/>
          <w:sz w:val="24"/>
          <w:szCs w:val="24"/>
          <w:rtl w:val="0"/>
        </w:rPr>
        <w:t xml:space="preserve">apud</w:t>
      </w:r>
      <w:r w:rsidDel="00000000" w:rsidR="00000000" w:rsidRPr="00000000">
        <w:rPr>
          <w:rFonts w:ascii="Arial" w:cs="Arial" w:eastAsia="Arial" w:hAnsi="Arial"/>
          <w:sz w:val="24"/>
          <w:szCs w:val="24"/>
          <w:rtl w:val="0"/>
        </w:rPr>
        <w:t xml:space="preserve"> Moreira (2020)</w:t>
      </w:r>
      <w:r w:rsidDel="00000000" w:rsidR="00000000" w:rsidRPr="00000000">
        <w:rPr>
          <w:rFonts w:ascii="Arial" w:cs="Arial" w:eastAsia="Arial" w:hAnsi="Arial"/>
          <w:sz w:val="24"/>
          <w:szCs w:val="24"/>
          <w:rtl w:val="0"/>
        </w:rPr>
        <w:t xml:space="preserve"> aborda que a relevância deste espaço geográfico está no fato de que o espaço urbano da cidade é segmentado em várias áreas, com divisões marcadas pelo aspecto socioeconômico. Esse valor, em grande parte, pelas migrações de povos negros em busca de melhores condições de vida. Como exposto, ao longo do tempo, esses grupos chegaram à cidade em busca de trabalho, melhores oportunidades e uma vida mais digna, o que acabou resultando em uma distribuição desigual de recursos e condições de vida e configurando diferentes áreas dentro da cidade.</w:t>
      </w:r>
      <w:r w:rsidDel="00000000" w:rsidR="00000000" w:rsidRPr="00000000">
        <w:rPr>
          <w:rtl w:val="0"/>
        </w:rPr>
      </w:r>
    </w:p>
    <w:p w:rsidR="00000000" w:rsidDel="00000000" w:rsidP="00000000" w:rsidRDefault="00000000" w:rsidRPr="00000000" w14:paraId="00000017">
      <w:pPr>
        <w:spacing w:after="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trabalho </w:t>
      </w:r>
      <w:r w:rsidDel="00000000" w:rsidR="00000000" w:rsidRPr="00000000">
        <w:rPr>
          <w:rFonts w:ascii="Arial" w:cs="Arial" w:eastAsia="Arial" w:hAnsi="Arial"/>
          <w:sz w:val="24"/>
          <w:szCs w:val="24"/>
          <w:rtl w:val="0"/>
        </w:rPr>
        <w:t xml:space="preserve">tem como objetivo geral discutir</w:t>
      </w:r>
      <w:r w:rsidDel="00000000" w:rsidR="00000000" w:rsidRPr="00000000">
        <w:rPr>
          <w:rFonts w:ascii="Arial" w:cs="Arial" w:eastAsia="Arial" w:hAnsi="Arial"/>
          <w:color w:val="ff0000"/>
          <w:sz w:val="24"/>
          <w:szCs w:val="24"/>
          <w:rtl w:val="0"/>
        </w:rPr>
        <w:t xml:space="preserve"> </w:t>
      </w:r>
      <w:r w:rsidDel="00000000" w:rsidR="00000000" w:rsidRPr="00000000">
        <w:rPr>
          <w:rFonts w:ascii="Arial" w:cs="Arial" w:eastAsia="Arial" w:hAnsi="Arial"/>
          <w:sz w:val="24"/>
          <w:szCs w:val="24"/>
          <w:rtl w:val="0"/>
        </w:rPr>
        <w:t xml:space="preserve">uma oficina de Migrações Negras em São Gonçalo-RJ, aplicada com alunos do 7° dos anos finais do ensino fundamental da E.M. Professora Aurelina Dias Cavalcanti, no município de São Gonçalo-RJ. Os objetivos específicos a) compreender</w:t>
      </w:r>
      <w:r w:rsidDel="00000000" w:rsidR="00000000" w:rsidRPr="00000000">
        <w:rPr>
          <w:rFonts w:ascii="Arial" w:cs="Arial" w:eastAsia="Arial" w:hAnsi="Arial"/>
          <w:sz w:val="24"/>
          <w:szCs w:val="24"/>
          <w:rtl w:val="0"/>
        </w:rPr>
        <w:t xml:space="preserve"> a história das migrações negras, tanto no Brasil quanto na cidade de São Gonçalo; b) sobre os aspectos socioeconômicos e culturais dessas migrações, e c) compreender as desigualdades sociais e econômicas resultantes, especialmente nas periferias urbanas</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18">
      <w:pPr>
        <w:spacing w:after="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realização deste projeto faz parte da pesquisa da Bolsa de Iniciação Científica – PIBIC-CNPq (2022-2025) Projetos Temáticos “Propostas e materiais didáticos para professores de Geografia no Estado do Rio de Janeiro” financiado pela Faperj (Fundação de Amparo à Pesquisa do estado do Rio de Janeiro (2022-2026) e do Projeto Universal (2022-2025) financiado pelo CNPq.</w:t>
      </w:r>
    </w:p>
    <w:p w:rsidR="00000000" w:rsidDel="00000000" w:rsidP="00000000" w:rsidRDefault="00000000" w:rsidRPr="00000000" w14:paraId="00000019">
      <w:pPr>
        <w:pStyle w:val="Heading2"/>
        <w:keepNext w:val="0"/>
        <w:keepLines w:val="0"/>
        <w:jc w:val="both"/>
        <w:rPr>
          <w:rFonts w:ascii="Arial" w:cs="Arial" w:eastAsia="Arial" w:hAnsi="Arial"/>
          <w:sz w:val="24"/>
          <w:szCs w:val="24"/>
        </w:rPr>
      </w:pPr>
      <w:bookmarkStart w:colFirst="0" w:colLast="0" w:name="_heading=h.bqkvy9vi1lui" w:id="2"/>
      <w:bookmarkEnd w:id="2"/>
      <w:r w:rsidDel="00000000" w:rsidR="00000000" w:rsidRPr="00000000">
        <w:rPr>
          <w:rFonts w:ascii="Arial" w:cs="Arial" w:eastAsia="Arial" w:hAnsi="Arial"/>
          <w:sz w:val="24"/>
          <w:szCs w:val="24"/>
          <w:rtl w:val="0"/>
        </w:rPr>
        <w:t xml:space="preserve">2. Metodologia</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realização da oficina</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sz w:val="24"/>
          <w:szCs w:val="24"/>
          <w:rtl w:val="0"/>
        </w:rPr>
        <w:t xml:space="preserve">PAVIANI; FONTANA, 2009) é fundamentada na pesquisa qualitativa. As autoras esboçam como a oficina pedagógica é definida como um espaço de aprendizagem ativa, </w:t>
      </w:r>
      <w:r w:rsidDel="00000000" w:rsidR="00000000" w:rsidRPr="00000000">
        <w:rPr>
          <w:rFonts w:ascii="Arial" w:cs="Arial" w:eastAsia="Arial" w:hAnsi="Arial"/>
          <w:sz w:val="24"/>
          <w:szCs w:val="24"/>
          <w:rtl w:val="0"/>
        </w:rPr>
        <w:t xml:space="preserve">onde</w:t>
      </w:r>
      <w:r w:rsidDel="00000000" w:rsidR="00000000" w:rsidRPr="00000000">
        <w:rPr>
          <w:rFonts w:ascii="Arial" w:cs="Arial" w:eastAsia="Arial" w:hAnsi="Arial"/>
          <w:sz w:val="24"/>
          <w:szCs w:val="24"/>
          <w:rtl w:val="0"/>
        </w:rPr>
        <w:t xml:space="preserve"> teoria e prática se interligam por meio da vivência de situações concretas e significativas. Essa abordagem promove um modelo de ensino centrado no aprendiz, privilegiando a construção coletiva do conhecimento. Mais do que uma mera transmissão de conteúdos, as oficinas valorizam a ação e a reflexão, o que possibilita maior envolvimento dos participantes.</w:t>
      </w:r>
    </w:p>
    <w:p w:rsidR="00000000" w:rsidDel="00000000" w:rsidP="00000000" w:rsidRDefault="00000000" w:rsidRPr="00000000" w14:paraId="0000001C">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São Gonçalo, localizada no leste da região metropolitana do Rio de Janeiro, é uma cidade marcada por uma diversidade cultural rica e plural. No entanto, no ambiente educacional, ainda prevalecem influências eurocêntricas que, muitas vezes, invisibilizam e marginalizam a população negra (SILVA, 2021; SILVA; SACRAMENTO; CUNHA, 2023). A oficina busca resgatar memórias, reformular narrativas e combater tanto o racismo quanto a ilusão da democracia racial embasado na lei 10.639/2003 (BRASIL, 2003).</w:t>
      </w:r>
    </w:p>
    <w:p w:rsidR="00000000" w:rsidDel="00000000" w:rsidP="00000000" w:rsidRDefault="00000000" w:rsidRPr="00000000" w14:paraId="0000001D">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metodologia da oficina será estruturada em quatro momentos principais: a) contextualização conceitual, b) dinâmica interativa com a turma, c) estudo de caso e d) atividade de fechamento e reflexão. No primeiro momento, a contextualização conceitual foi realizada por meio de uma exposição oral com suporte do quadro branco apresentando os principais conceitos sobre fluxo migratório de forma geral. Os conceitos trabalhados foram: 1) </w:t>
      </w:r>
      <w:r w:rsidDel="00000000" w:rsidR="00000000" w:rsidRPr="00000000">
        <w:rPr>
          <w:rFonts w:ascii="Arial" w:cs="Arial" w:eastAsia="Arial" w:hAnsi="Arial"/>
          <w:b w:val="1"/>
          <w:sz w:val="24"/>
          <w:szCs w:val="24"/>
          <w:rtl w:val="0"/>
        </w:rPr>
        <w:t xml:space="preserve">migração pendular</w:t>
      </w:r>
      <w:r w:rsidDel="00000000" w:rsidR="00000000" w:rsidRPr="00000000">
        <w:rPr>
          <w:rFonts w:ascii="Arial" w:cs="Arial" w:eastAsia="Arial" w:hAnsi="Arial"/>
          <w:sz w:val="24"/>
          <w:szCs w:val="24"/>
          <w:rtl w:val="0"/>
        </w:rPr>
        <w:t xml:space="preserve"> caracterizada pelo deslocamento diário entre dois locais, com retorno ao ponto de origem no mesmo dia.; 2) a </w:t>
      </w:r>
      <w:r w:rsidDel="00000000" w:rsidR="00000000" w:rsidRPr="00000000">
        <w:rPr>
          <w:rFonts w:ascii="Arial" w:cs="Arial" w:eastAsia="Arial" w:hAnsi="Arial"/>
          <w:b w:val="1"/>
          <w:sz w:val="24"/>
          <w:szCs w:val="24"/>
          <w:rtl w:val="0"/>
        </w:rPr>
        <w:t xml:space="preserve">migração sazonal</w:t>
      </w:r>
      <w:r w:rsidDel="00000000" w:rsidR="00000000" w:rsidRPr="00000000">
        <w:rPr>
          <w:rFonts w:ascii="Arial" w:cs="Arial" w:eastAsia="Arial" w:hAnsi="Arial"/>
          <w:sz w:val="24"/>
          <w:szCs w:val="24"/>
          <w:rtl w:val="0"/>
        </w:rPr>
        <w:t xml:space="preserve"> que ocorre em períodos específicos do ano, geralmente influenciada por fatores climáticos ou econômicos, como a colheita na agricultura. Esse tipo de deslocamento pode durar semanas ou meses, mas não é permanente; 3) o </w:t>
      </w:r>
      <w:r w:rsidDel="00000000" w:rsidR="00000000" w:rsidRPr="00000000">
        <w:rPr>
          <w:rFonts w:ascii="Arial" w:cs="Arial" w:eastAsia="Arial" w:hAnsi="Arial"/>
          <w:b w:val="1"/>
          <w:sz w:val="24"/>
          <w:szCs w:val="24"/>
          <w:rtl w:val="0"/>
        </w:rPr>
        <w:t xml:space="preserve">êxodo rural</w:t>
      </w:r>
      <w:r w:rsidDel="00000000" w:rsidR="00000000" w:rsidRPr="00000000">
        <w:rPr>
          <w:rFonts w:ascii="Arial" w:cs="Arial" w:eastAsia="Arial" w:hAnsi="Arial"/>
          <w:sz w:val="24"/>
          <w:szCs w:val="24"/>
          <w:rtl w:val="0"/>
        </w:rPr>
        <w:t xml:space="preserve"> que se refere ao movimento de saída da população do campo para as cidades, motivado por fatores como a busca por melhores condições de vida, trabalho ou acesso a serviços urbanos; e 4) a </w:t>
      </w:r>
      <w:r w:rsidDel="00000000" w:rsidR="00000000" w:rsidRPr="00000000">
        <w:rPr>
          <w:rFonts w:ascii="Arial" w:cs="Arial" w:eastAsia="Arial" w:hAnsi="Arial"/>
          <w:b w:val="1"/>
          <w:sz w:val="24"/>
          <w:szCs w:val="24"/>
          <w:rtl w:val="0"/>
        </w:rPr>
        <w:t xml:space="preserve">diáspora</w:t>
      </w:r>
      <w:r w:rsidDel="00000000" w:rsidR="00000000" w:rsidRPr="00000000">
        <w:rPr>
          <w:rFonts w:ascii="Arial" w:cs="Arial" w:eastAsia="Arial" w:hAnsi="Arial"/>
          <w:sz w:val="24"/>
          <w:szCs w:val="24"/>
          <w:rtl w:val="0"/>
        </w:rPr>
        <w:t xml:space="preserve">, que ocorre quando um grupo populacional é disperso de sua região de origem, podendo acontecer de maneira forçada, como no caso da escravização dos povos africanos. (MOREIRA; SENE, 2016)</w:t>
      </w:r>
    </w:p>
    <w:p w:rsidR="00000000" w:rsidDel="00000000" w:rsidP="00000000" w:rsidRDefault="00000000" w:rsidRPr="00000000" w14:paraId="0000001E">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Na dinâmica interativa, os alunos foram provocados a dialogar com cada conceito relacionando-os ao seu cotidiano e a contextualização histórica conversando entre os demais alunos da sala. O estudo de caso abordou especificamente São Gonçalo e as migrações negras. Os alunos analisaram os bairros periféricos e sua composição populacional. Serão discutidos os impactos da urbanização e da segregação socioespacial, além da relação entre migração, racismo estrutural e acesso a direitos. Para o fechamento da oficina, realizou-se uma roda de conversa sobre experiências pessoais e familiares de migração. Em seguida, os alunos produzirão um pequeno texto ou ilustração sobre como percebem a migração em suas vidas e na cidade. </w:t>
      </w:r>
    </w:p>
    <w:p w:rsidR="00000000" w:rsidDel="00000000" w:rsidP="00000000" w:rsidRDefault="00000000" w:rsidRPr="00000000" w14:paraId="0000001F">
      <w:pPr>
        <w:pStyle w:val="Heading2"/>
        <w:keepNext w:val="0"/>
        <w:keepLines w:val="0"/>
        <w:jc w:val="both"/>
        <w:rPr>
          <w:rFonts w:ascii="Arial" w:cs="Arial" w:eastAsia="Arial" w:hAnsi="Arial"/>
          <w:sz w:val="24"/>
          <w:szCs w:val="24"/>
        </w:rPr>
      </w:pPr>
      <w:bookmarkStart w:colFirst="0" w:colLast="0" w:name="_heading=h.yli1eg4yty0" w:id="3"/>
      <w:bookmarkEnd w:id="3"/>
      <w:r w:rsidDel="00000000" w:rsidR="00000000" w:rsidRPr="00000000">
        <w:rPr>
          <w:rFonts w:ascii="Arial" w:cs="Arial" w:eastAsia="Arial" w:hAnsi="Arial"/>
          <w:sz w:val="24"/>
          <w:szCs w:val="24"/>
          <w:rtl w:val="0"/>
        </w:rPr>
        <w:t xml:space="preserve">3. Resultados e Discussão</w:t>
      </w:r>
    </w:p>
    <w:p w:rsidR="00000000" w:rsidDel="00000000" w:rsidP="00000000" w:rsidRDefault="00000000" w:rsidRPr="00000000" w14:paraId="00000020">
      <w:pPr>
        <w:spacing w:after="0" w:before="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oficina proporcionou um espaço de ensino/aprendizagem (KUBO; BOTOMÉ, 2001) aos alunos do 7º ano dos anos finais do ensino fundamental, uma vez que </w:t>
      </w:r>
      <w:r w:rsidDel="00000000" w:rsidR="00000000" w:rsidRPr="00000000">
        <w:rPr>
          <w:rFonts w:ascii="Arial" w:cs="Arial" w:eastAsia="Arial" w:hAnsi="Arial"/>
          <w:sz w:val="24"/>
          <w:szCs w:val="24"/>
          <w:rtl w:val="0"/>
        </w:rPr>
        <w:t xml:space="preserve">o debate conceitual permitiu  a compreensão das diferentes formas de migração, relacionando-as com suas próprias vivências. O conceito de diáspora foi o mais discutido, especialmente por sua relevância histórica no contexto da escravização africana e da formação da sociedade brasileira. Durante a dinâmica interativa, relatos espontâneos sobre deslocamentos diários para estudo e trabalho evidenciaram a pertinência do conceito de migração pendular na vida da comunidade, principalmente por se tratar de uma escola periférica. A reflexão sobre o êxodo rural também foi enriquecedora, pois muitos </w:t>
      </w:r>
      <w:r w:rsidDel="00000000" w:rsidR="00000000" w:rsidRPr="00000000">
        <w:rPr>
          <w:rFonts w:ascii="Arial" w:cs="Arial" w:eastAsia="Arial" w:hAnsi="Arial"/>
          <w:sz w:val="24"/>
          <w:szCs w:val="24"/>
          <w:rtl w:val="0"/>
        </w:rPr>
        <w:t xml:space="preserve">estudantes </w:t>
      </w:r>
      <w:r w:rsidDel="00000000" w:rsidR="00000000" w:rsidRPr="00000000">
        <w:rPr>
          <w:rFonts w:ascii="Arial" w:cs="Arial" w:eastAsia="Arial" w:hAnsi="Arial"/>
          <w:sz w:val="24"/>
          <w:szCs w:val="24"/>
          <w:rtl w:val="0"/>
        </w:rPr>
        <w:t xml:space="preserve">possuem familiares que migraram de regiões do Nordeste para São Gonçalo em busca de melhores condições de vida, sendo dois dentre os conceitos mais discutidos entre eles, sinalizando como o racismo estrutural e formas de poder repressivos (BENTO, 2018) ainda são impostos e estruturantes na vivência social de cada aluno.</w:t>
      </w:r>
    </w:p>
    <w:p w:rsidR="00000000" w:rsidDel="00000000" w:rsidP="00000000" w:rsidRDefault="00000000" w:rsidRPr="00000000" w14:paraId="00000022">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Foucault (1999) analisa o biopoder como uma forma de poder estatal moderno que, em vez de exercer o direito de matar como o poder soberano, foca em "fazer viver" e "deixar morrer". O biopoder age sobre a população, regulando e massificando os indivíduos por meio de tecnologias estatais. Foucault também observa que os Estados mais assassinos são frequentemente os mais racistas, e essa relação entre o Estado, o racismo e a violência é central para entender as dinâmicas políticas, como no caso do Brasil/São Gonçalo-RJ. Mbembe (2011) amplia essa análise, afirmando que a ocupação colonial de Israel é um exemplo de necropoder, na qual o Estado fundamenta sua soberania e legitimidade pela negação da existência da população nativa palestina, através de práticas de limpeza étnica. Bento (2018) concorda com a análise de Mbembe, mas destaca que, para entender Israel, é necessário considerar também a biopolítica que sustenta sua existência, e que a necropolítica e a biopolítica estão interligadas. Ela propõe o conceito de necrobiopoder, que envolve um conjunto de técnicas para promover tanto a vida quanto a morte, organizando corpos em posições, em que uns são desumanizados e eliminados, enquanto outros são preservados. </w:t>
      </w:r>
    </w:p>
    <w:p w:rsidR="00000000" w:rsidDel="00000000" w:rsidP="00000000" w:rsidRDefault="00000000" w:rsidRPr="00000000" w14:paraId="00000023">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estudo de caso sobre São Gonçalo, a discussão sobre a formação dos bairros periféricos e a segregação socioespacial foi amplamente debatida à luz do conceito de necrobiopoder. Os alunos identificaram a desigualdade na distribuição de serviços públicos e oportunidades econômicas na cidade. Notou-se as consequências do racismo estrutural e das políticas urbanas excludentes que historicamente marginalizam a população negra migrante.</w:t>
      </w:r>
    </w:p>
    <w:p w:rsidR="00000000" w:rsidDel="00000000" w:rsidP="00000000" w:rsidRDefault="00000000" w:rsidRPr="00000000" w14:paraId="00000024">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roda de conversa no encerramento da oficina reforçou a percepção dos alunos sobre a importância da história das migrações negras. Os relatos pessoais e familiares compartilharam experiências que demonstraram a continuidade dos desafios enfrentados por essa população ao longo das gerações. As produções textuais e ilustrações feitas pelos alunos evidenciaram um amadurecimento na compreensão do tema, demonstrando que a oficina conseguiu provocar reflexões significativas e ressignificar a história das migrações negras em São Gonçalo.</w:t>
      </w:r>
    </w:p>
    <w:p w:rsidR="00000000" w:rsidDel="00000000" w:rsidP="00000000" w:rsidRDefault="00000000" w:rsidRPr="00000000" w14:paraId="00000025">
      <w:pPr>
        <w:pStyle w:val="Heading2"/>
        <w:keepNext w:val="0"/>
        <w:keepLines w:val="0"/>
        <w:jc w:val="both"/>
        <w:rPr>
          <w:rFonts w:ascii="Arial" w:cs="Arial" w:eastAsia="Arial" w:hAnsi="Arial"/>
          <w:sz w:val="26"/>
          <w:szCs w:val="26"/>
        </w:rPr>
      </w:pPr>
      <w:bookmarkStart w:colFirst="0" w:colLast="0" w:name="_heading=h.6iwoyfm471ei" w:id="4"/>
      <w:bookmarkEnd w:id="4"/>
      <w:r w:rsidDel="00000000" w:rsidR="00000000" w:rsidRPr="00000000">
        <w:rPr>
          <w:rFonts w:ascii="Arial" w:cs="Arial" w:eastAsia="Arial" w:hAnsi="Arial"/>
          <w:sz w:val="24"/>
          <w:szCs w:val="24"/>
          <w:rtl w:val="0"/>
        </w:rPr>
        <w:t xml:space="preserve">4. Conclusão</w:t>
      </w:r>
      <w:r w:rsidDel="00000000" w:rsidR="00000000" w:rsidRPr="00000000">
        <w:rPr>
          <w:rtl w:val="0"/>
        </w:rPr>
      </w:r>
    </w:p>
    <w:p w:rsidR="00000000" w:rsidDel="00000000" w:rsidP="00000000" w:rsidRDefault="00000000" w:rsidRPr="00000000" w14:paraId="00000026">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oficina proporcionou um espaço de diálogos na compreensão crítica da migração negra no Brasil e suas implicações históricas e atuais. As estratégias e segmentos adotados favoreceram a participação dos alunos, permitindo que relacionassem os conceitos apresentados com suas próprias experiências e com a realidade social do município de São Gonçalo.</w:t>
      </w:r>
    </w:p>
    <w:p w:rsidR="00000000" w:rsidDel="00000000" w:rsidP="00000000" w:rsidRDefault="00000000" w:rsidRPr="00000000" w14:paraId="00000027">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partir disso, os resultados evidenciaram que os deslocamentos forçados e contínuos da população negra influenciaram na estrutura urbana e socioeconômica da cidade. Deste modo, a discussão sobre racismo estrutural, segregação socioespacial e biopoder ampliou a percepção dos alunos sobre as desigualdades persistentes e os desafios enfrentados pelos migrantes.</w:t>
      </w:r>
    </w:p>
    <w:p w:rsidR="00000000" w:rsidDel="00000000" w:rsidP="00000000" w:rsidRDefault="00000000" w:rsidRPr="00000000" w14:paraId="00000028">
      <w:pPr>
        <w:spacing w:after="0" w:before="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a oficina possibilitou que os participantes reconhecessem sua própria história dentro desse contexto mais amplo, fortalecendo o senso de pertencimento e incentivando a valorização da cultura afro-brasileira. A troca de relatos pessoais e familiares demonstrou que as trajetórias migratórias seguem determinando a vida de muitas famílias, evidenciando a necessidade de políticas públicas inclusivas e de um ensino que valorize as contribuições da população negra.</w:t>
      </w:r>
    </w:p>
    <w:p w:rsidR="00000000" w:rsidDel="00000000" w:rsidP="00000000" w:rsidRDefault="00000000" w:rsidRPr="00000000" w14:paraId="00000029">
      <w:pPr>
        <w:pStyle w:val="Heading2"/>
        <w:keepNext w:val="0"/>
        <w:keepLines w:val="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5. Referências Bibliográficas</w:t>
      </w:r>
    </w:p>
    <w:p w:rsidR="00000000" w:rsidDel="00000000" w:rsidP="00000000" w:rsidRDefault="00000000" w:rsidRPr="00000000" w14:paraId="0000002A">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BENTO, Berenice. Necrobiopoder: Quem pode habitar o Estado-nação?. </w:t>
      </w:r>
      <w:r w:rsidDel="00000000" w:rsidR="00000000" w:rsidRPr="00000000">
        <w:rPr>
          <w:rFonts w:ascii="Arial" w:cs="Arial" w:eastAsia="Arial" w:hAnsi="Arial"/>
          <w:b w:val="1"/>
          <w:sz w:val="24"/>
          <w:szCs w:val="24"/>
          <w:rtl w:val="0"/>
        </w:rPr>
        <w:t xml:space="preserve">Cadernos Pagu</w:t>
      </w:r>
      <w:r w:rsidDel="00000000" w:rsidR="00000000" w:rsidRPr="00000000">
        <w:rPr>
          <w:rFonts w:ascii="Arial" w:cs="Arial" w:eastAsia="Arial" w:hAnsi="Arial"/>
          <w:sz w:val="24"/>
          <w:szCs w:val="24"/>
          <w:rtl w:val="0"/>
        </w:rPr>
        <w:t xml:space="preserve">, Campinas, SP, n. 53, 2018. Disponível em: </w:t>
      </w:r>
      <w:hyperlink r:id="rId10">
        <w:r w:rsidDel="00000000" w:rsidR="00000000" w:rsidRPr="00000000">
          <w:rPr>
            <w:rFonts w:ascii="Arial" w:cs="Arial" w:eastAsia="Arial" w:hAnsi="Arial"/>
            <w:color w:val="1155cc"/>
            <w:sz w:val="24"/>
            <w:szCs w:val="24"/>
            <w:u w:val="single"/>
            <w:rtl w:val="0"/>
          </w:rPr>
          <w:t xml:space="preserve">https://periodicos.sbu.unicamp.br/ojs/index.php/cadpagu/article/view/8653413</w:t>
        </w:r>
      </w:hyperlink>
      <w:r w:rsidDel="00000000" w:rsidR="00000000" w:rsidRPr="00000000">
        <w:rPr>
          <w:rFonts w:ascii="Arial" w:cs="Arial" w:eastAsia="Arial" w:hAnsi="Arial"/>
          <w:sz w:val="24"/>
          <w:szCs w:val="24"/>
          <w:rtl w:val="0"/>
        </w:rPr>
        <w:t xml:space="preserve">. Acesso em: 23 mar. 2025.</w:t>
      </w:r>
    </w:p>
    <w:p w:rsidR="00000000" w:rsidDel="00000000" w:rsidP="00000000" w:rsidRDefault="00000000" w:rsidRPr="00000000" w14:paraId="0000002B">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BRASIL. Lei nº 10.639, de 09 de janeiro de 2003. </w:t>
      </w:r>
      <w:r w:rsidDel="00000000" w:rsidR="00000000" w:rsidRPr="00000000">
        <w:rPr>
          <w:rFonts w:ascii="Arial" w:cs="Arial" w:eastAsia="Arial" w:hAnsi="Arial"/>
          <w:b w:val="1"/>
          <w:sz w:val="24"/>
          <w:szCs w:val="24"/>
          <w:rtl w:val="0"/>
        </w:rPr>
        <w:t xml:space="preserve">Altera a Lei nº 9.394, de 20 de dezembro de 1996, que estabelece as diretrizes e bases da educação nacional, para incluir no currículo oficial da rede de ensino a obrigatoriedade da temática “História e Cultura Afro-brasileira”, e dá outras providências</w:t>
      </w:r>
      <w:r w:rsidDel="00000000" w:rsidR="00000000" w:rsidRPr="00000000">
        <w:rPr>
          <w:rFonts w:ascii="Arial" w:cs="Arial" w:eastAsia="Arial" w:hAnsi="Arial"/>
          <w:sz w:val="24"/>
          <w:szCs w:val="24"/>
          <w:rtl w:val="0"/>
        </w:rPr>
        <w:t xml:space="preserve">. Disponível em: http://www.planalto.gov.br/ccivil_03/leis/2003/l10.639.htm. Acesso em: 23 de março de 2025.</w:t>
      </w:r>
    </w:p>
    <w:p w:rsidR="00000000" w:rsidDel="00000000" w:rsidP="00000000" w:rsidRDefault="00000000" w:rsidRPr="00000000" w14:paraId="0000002C">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FOUCAULT, Michel. </w:t>
      </w:r>
      <w:r w:rsidDel="00000000" w:rsidR="00000000" w:rsidRPr="00000000">
        <w:rPr>
          <w:rFonts w:ascii="Arial" w:cs="Arial" w:eastAsia="Arial" w:hAnsi="Arial"/>
          <w:b w:val="1"/>
          <w:sz w:val="24"/>
          <w:szCs w:val="24"/>
          <w:rtl w:val="0"/>
        </w:rPr>
        <w:t xml:space="preserve">Em defesa da sociedade</w:t>
      </w:r>
      <w:r w:rsidDel="00000000" w:rsidR="00000000" w:rsidRPr="00000000">
        <w:rPr>
          <w:rFonts w:ascii="Arial" w:cs="Arial" w:eastAsia="Arial" w:hAnsi="Arial"/>
          <w:sz w:val="24"/>
          <w:szCs w:val="24"/>
          <w:rtl w:val="0"/>
        </w:rPr>
        <w:t xml:space="preserve">. São Paulo, Martins Fontes, 1999.</w:t>
      </w:r>
    </w:p>
    <w:p w:rsidR="00000000" w:rsidDel="00000000" w:rsidP="00000000" w:rsidRDefault="00000000" w:rsidRPr="00000000" w14:paraId="0000002D">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GÓES, Luciano. </w:t>
      </w:r>
      <w:r w:rsidDel="00000000" w:rsidR="00000000" w:rsidRPr="00000000">
        <w:rPr>
          <w:rFonts w:ascii="Arial" w:cs="Arial" w:eastAsia="Arial" w:hAnsi="Arial"/>
          <w:sz w:val="24"/>
          <w:szCs w:val="24"/>
          <w:rtl w:val="0"/>
        </w:rPr>
        <w:t xml:space="preserve">Entre a abolição e o abolicionismo penal: insurgência marginal crítica por uma sociologia do sistema de controle racial brasileiro,</w:t>
      </w:r>
      <w:r w:rsidDel="00000000" w:rsidR="00000000" w:rsidRPr="00000000">
        <w:rPr>
          <w:rFonts w:ascii="Arial" w:cs="Arial" w:eastAsia="Arial" w:hAnsi="Arial"/>
          <w:sz w:val="24"/>
          <w:szCs w:val="24"/>
          <w:rtl w:val="0"/>
        </w:rPr>
        <w:t xml:space="preserve"> Belo Horizonte, 2019.</w:t>
      </w:r>
    </w:p>
    <w:p w:rsidR="00000000" w:rsidDel="00000000" w:rsidP="00000000" w:rsidRDefault="00000000" w:rsidRPr="00000000" w14:paraId="0000002E">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KUBO, Olga Mitsue; BOTOMÉ, Sílvio Paulo. Ensino-aprendizagem: uma interação entre dois processos comportamentais. </w:t>
      </w:r>
      <w:r w:rsidDel="00000000" w:rsidR="00000000" w:rsidRPr="00000000">
        <w:rPr>
          <w:rFonts w:ascii="Arial" w:cs="Arial" w:eastAsia="Arial" w:hAnsi="Arial"/>
          <w:b w:val="1"/>
          <w:sz w:val="24"/>
          <w:szCs w:val="24"/>
          <w:rtl w:val="0"/>
        </w:rPr>
        <w:t xml:space="preserve">Interação em Psicologia</w:t>
      </w:r>
      <w:r w:rsidDel="00000000" w:rsidR="00000000" w:rsidRPr="00000000">
        <w:rPr>
          <w:rFonts w:ascii="Arial" w:cs="Arial" w:eastAsia="Arial" w:hAnsi="Arial"/>
          <w:sz w:val="24"/>
          <w:szCs w:val="24"/>
          <w:rtl w:val="0"/>
        </w:rPr>
        <w:t xml:space="preserve">, Curitiba, Paraná, Brasil, v. 5, n. 1, 2001. DOI: 10.5380/psi.v5i1.3321. Disponível em: </w:t>
      </w:r>
      <w:hyperlink r:id="rId11">
        <w:r w:rsidDel="00000000" w:rsidR="00000000" w:rsidRPr="00000000">
          <w:rPr>
            <w:rFonts w:ascii="Arial" w:cs="Arial" w:eastAsia="Arial" w:hAnsi="Arial"/>
            <w:color w:val="1155cc"/>
            <w:sz w:val="24"/>
            <w:szCs w:val="24"/>
            <w:u w:val="single"/>
            <w:rtl w:val="0"/>
          </w:rPr>
          <w:t xml:space="preserve">https://revistas.ufpr.br/psicologia/article/view/3321</w:t>
        </w:r>
      </w:hyperlink>
      <w:r w:rsidDel="00000000" w:rsidR="00000000" w:rsidRPr="00000000">
        <w:rPr>
          <w:rFonts w:ascii="Arial" w:cs="Arial" w:eastAsia="Arial" w:hAnsi="Arial"/>
          <w:sz w:val="24"/>
          <w:szCs w:val="24"/>
          <w:rtl w:val="0"/>
        </w:rPr>
        <w:t xml:space="preserve">. Acesso em: 23 mar. 2025.</w:t>
      </w:r>
    </w:p>
    <w:p w:rsidR="00000000" w:rsidDel="00000000" w:rsidP="00000000" w:rsidRDefault="00000000" w:rsidRPr="00000000" w14:paraId="0000002F">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MBEMBE,  Achille. </w:t>
      </w:r>
      <w:r w:rsidDel="00000000" w:rsidR="00000000" w:rsidRPr="00000000">
        <w:rPr>
          <w:rFonts w:ascii="Arial" w:cs="Arial" w:eastAsia="Arial" w:hAnsi="Arial"/>
          <w:b w:val="1"/>
          <w:sz w:val="24"/>
          <w:szCs w:val="24"/>
          <w:rtl w:val="0"/>
        </w:rPr>
        <w:t xml:space="preserve">Necropolitica: seguido  de  sobre  el  governo  privado indirecto</w:t>
      </w:r>
      <w:r w:rsidDel="00000000" w:rsidR="00000000" w:rsidRPr="00000000">
        <w:rPr>
          <w:rFonts w:ascii="Arial" w:cs="Arial" w:eastAsia="Arial" w:hAnsi="Arial"/>
          <w:sz w:val="24"/>
          <w:szCs w:val="24"/>
          <w:rtl w:val="0"/>
        </w:rPr>
        <w:t xml:space="preserve">. Santa Cruz de Tenerife, Melusina, 2011.</w:t>
      </w:r>
    </w:p>
    <w:p w:rsidR="00000000" w:rsidDel="00000000" w:rsidP="00000000" w:rsidRDefault="00000000" w:rsidRPr="00000000" w14:paraId="00000030">
      <w:pPr>
        <w:spacing w:after="200" w:before="20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MOREIRA, João Carlos; SENE, Eustáquio de. </w:t>
      </w:r>
      <w:r w:rsidDel="00000000" w:rsidR="00000000" w:rsidRPr="00000000">
        <w:rPr>
          <w:rFonts w:ascii="Arial" w:cs="Arial" w:eastAsia="Arial" w:hAnsi="Arial"/>
          <w:b w:val="1"/>
          <w:sz w:val="24"/>
          <w:szCs w:val="24"/>
          <w:rtl w:val="0"/>
        </w:rPr>
        <w:t xml:space="preserve">Geografia Geral e do Brasil</w:t>
      </w:r>
      <w:r w:rsidDel="00000000" w:rsidR="00000000" w:rsidRPr="00000000">
        <w:rPr>
          <w:rFonts w:ascii="Arial" w:cs="Arial" w:eastAsia="Arial" w:hAnsi="Arial"/>
          <w:sz w:val="24"/>
          <w:szCs w:val="24"/>
          <w:rtl w:val="0"/>
        </w:rPr>
        <w:t xml:space="preserve">: Espaço Geográfico e Globalização. 2. ed. São Paulo: Scipione, 2016. 264 p. v. 1.</w:t>
      </w:r>
    </w:p>
    <w:p w:rsidR="00000000" w:rsidDel="00000000" w:rsidP="00000000" w:rsidRDefault="00000000" w:rsidRPr="00000000" w14:paraId="00000031">
      <w:pPr>
        <w:spacing w:after="200" w:before="20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MOREIRA, Viviane Pereira. </w:t>
      </w:r>
      <w:r w:rsidDel="00000000" w:rsidR="00000000" w:rsidRPr="00000000">
        <w:rPr>
          <w:rFonts w:ascii="Arial" w:cs="Arial" w:eastAsia="Arial" w:hAnsi="Arial"/>
          <w:b w:val="1"/>
          <w:sz w:val="24"/>
          <w:szCs w:val="24"/>
          <w:rtl w:val="0"/>
        </w:rPr>
        <w:t xml:space="preserve">Vozes da Periferia: as relações sociosespaciais do Morro do Castro (São Gonçalo, Rio de Janeiro).</w:t>
      </w:r>
      <w:r w:rsidDel="00000000" w:rsidR="00000000" w:rsidRPr="00000000">
        <w:rPr>
          <w:rFonts w:ascii="Arial" w:cs="Arial" w:eastAsia="Arial" w:hAnsi="Arial"/>
          <w:sz w:val="24"/>
          <w:szCs w:val="24"/>
          <w:rtl w:val="0"/>
        </w:rPr>
        <w:t xml:space="preserve"> Dissertação (Mestrado em Educação, Cultura e Comunicação em Periferias Urbanas)-Faculdade de Educação da Baixada Fluminense, Universidade do Estado do Rio de Janeiro, Duque de Caxias, 2020.</w:t>
      </w:r>
    </w:p>
    <w:p w:rsidR="00000000" w:rsidDel="00000000" w:rsidP="00000000" w:rsidRDefault="00000000" w:rsidRPr="00000000" w14:paraId="00000032">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SANTIAGO, Ketno Lucas et al. Migração negra interna e identidade cultural no Quilombo do América: uma contribuição. </w:t>
      </w:r>
      <w:r w:rsidDel="00000000" w:rsidR="00000000" w:rsidRPr="00000000">
        <w:rPr>
          <w:rFonts w:ascii="Arial" w:cs="Arial" w:eastAsia="Arial" w:hAnsi="Arial"/>
          <w:b w:val="1"/>
          <w:sz w:val="24"/>
          <w:szCs w:val="24"/>
          <w:rtl w:val="0"/>
        </w:rPr>
        <w:t xml:space="preserve">Nova Revista Amazônica</w:t>
      </w:r>
      <w:r w:rsidDel="00000000" w:rsidR="00000000" w:rsidRPr="00000000">
        <w:rPr>
          <w:rFonts w:ascii="Arial" w:cs="Arial" w:eastAsia="Arial" w:hAnsi="Arial"/>
          <w:sz w:val="24"/>
          <w:szCs w:val="24"/>
          <w:rtl w:val="0"/>
        </w:rPr>
        <w:t xml:space="preserve">, v. 6, n. 4, p.126, </w:t>
      </w:r>
      <w:r w:rsidDel="00000000" w:rsidR="00000000" w:rsidRPr="00000000">
        <w:rPr>
          <w:rFonts w:ascii="Arial" w:cs="Arial" w:eastAsia="Arial" w:hAnsi="Arial"/>
          <w:sz w:val="24"/>
          <w:szCs w:val="24"/>
          <w:rtl w:val="0"/>
        </w:rPr>
        <w:t xml:space="preserve">2018</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33">
      <w:pPr>
        <w:spacing w:after="200" w:before="20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SILVA, Lucas Domingos da; SACRAMENTO, Ana Claudia Ramos; CUNHA, Charles Prado. O ensino da África a partir da cidade: caminhos negros por São Gonçalo - RJ. In: X Encontro Nacional de Ensino de Geografia: Fala Professor(a)!, 2023, Fortaleza-CE. É preciso estar atento e forte: ensino de Geografia na luta por um projeto democrático popular do Brasil. </w:t>
      </w:r>
      <w:r w:rsidDel="00000000" w:rsidR="00000000" w:rsidRPr="00000000">
        <w:rPr>
          <w:rFonts w:ascii="Arial" w:cs="Arial" w:eastAsia="Arial" w:hAnsi="Arial"/>
          <w:b w:val="1"/>
          <w:sz w:val="24"/>
          <w:szCs w:val="24"/>
          <w:rtl w:val="0"/>
        </w:rPr>
        <w:t xml:space="preserve">Anais...</w:t>
      </w:r>
      <w:r w:rsidDel="00000000" w:rsidR="00000000" w:rsidRPr="00000000">
        <w:rPr>
          <w:rFonts w:ascii="Arial" w:cs="Arial" w:eastAsia="Arial" w:hAnsi="Arial"/>
          <w:sz w:val="24"/>
          <w:szCs w:val="24"/>
          <w:rtl w:val="0"/>
        </w:rPr>
        <w:t xml:space="preserve"> Fortaleza: AGB - Universidade Estadual do Ceará, 2023.</w:t>
      </w:r>
    </w:p>
    <w:p w:rsidR="00000000" w:rsidDel="00000000" w:rsidP="00000000" w:rsidRDefault="00000000" w:rsidRPr="00000000" w14:paraId="00000034">
      <w:pPr>
        <w:spacing w:after="200" w:before="20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 xml:space="preserve">TOURINHO, Luciano de Oliveira Souza, RODRÍGUEZ, Pedro Garrido, SOTERO, Ana Paula da Silva. A aplicação dos métodos restaurativos na resolução dos conflitos migratórios: do combate à invisibilidade social ao reconhecimento dos direitos humanos dos refugiados e migrantes. </w:t>
      </w:r>
      <w:r w:rsidDel="00000000" w:rsidR="00000000" w:rsidRPr="00000000">
        <w:rPr>
          <w:rFonts w:ascii="Arial" w:cs="Arial" w:eastAsia="Arial" w:hAnsi="Arial"/>
          <w:b w:val="1"/>
          <w:sz w:val="24"/>
          <w:szCs w:val="24"/>
          <w:rtl w:val="0"/>
        </w:rPr>
        <w:t xml:space="preserve">Espaço Jurídico Journal of Law</w:t>
      </w:r>
      <w:r w:rsidDel="00000000" w:rsidR="00000000" w:rsidRPr="00000000">
        <w:rPr>
          <w:rFonts w:ascii="Arial" w:cs="Arial" w:eastAsia="Arial" w:hAnsi="Arial"/>
          <w:sz w:val="24"/>
          <w:szCs w:val="24"/>
          <w:rtl w:val="0"/>
        </w:rPr>
        <w:t xml:space="preserve">, v. 21, n. 2, p. 353–374, 2020, Disponível em &lt;</w:t>
      </w:r>
      <w:hyperlink r:id="rId12">
        <w:r w:rsidDel="00000000" w:rsidR="00000000" w:rsidRPr="00000000">
          <w:rPr>
            <w:rFonts w:ascii="Arial" w:cs="Arial" w:eastAsia="Arial" w:hAnsi="Arial"/>
            <w:color w:val="1155cc"/>
            <w:sz w:val="24"/>
            <w:szCs w:val="24"/>
            <w:u w:val="single"/>
            <w:rtl w:val="0"/>
          </w:rPr>
          <w:t xml:space="preserve">https://periodicos.unoesc.edu.br/espacojuridico/article/view/21447</w:t>
        </w:r>
      </w:hyperlink>
      <w:r w:rsidDel="00000000" w:rsidR="00000000" w:rsidRPr="00000000">
        <w:rPr>
          <w:rFonts w:ascii="Arial" w:cs="Arial" w:eastAsia="Arial" w:hAnsi="Arial"/>
          <w:sz w:val="24"/>
          <w:szCs w:val="24"/>
          <w:rtl w:val="0"/>
        </w:rPr>
        <w:t xml:space="preserve">&gt;. Acesso em 19 de março de 2025.</w:t>
      </w:r>
      <w:r w:rsidDel="00000000" w:rsidR="00000000" w:rsidRPr="00000000">
        <w:rPr>
          <w:rtl w:val="0"/>
        </w:rPr>
      </w:r>
    </w:p>
    <w:sectPr>
      <w:headerReference r:id="rId13" w:type="default"/>
      <w:headerReference r:id="rId14" w:type="first"/>
      <w:headerReference r:id="rId15" w:type="even"/>
      <w:footerReference r:id="rId16" w:type="default"/>
      <w:footerReference r:id="rId17"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848600" cy="209550"/>
          <wp:effectExtent b="0" l="0" r="0" t="0"/>
          <wp:docPr id="24780655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848600" cy="20955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8391525" cy="228600"/>
          <wp:effectExtent b="0" l="0" r="0" t="0"/>
          <wp:docPr id="24780655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391525" cy="228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Fonts w:ascii="Times New Roman" w:cs="Times New Roman" w:eastAsia="Times New Roman" w:hAnsi="Times New Roman"/>
        <w:sz w:val="24"/>
        <w:szCs w:val="24"/>
      </w:rPr>
      <w:pict>
        <v:shape id="WordPictureWatermark2" style="position:absolute;width:453.4pt;height:316.35pt;rotation:0;z-index:-503316481;mso-position-horizontal-relative:margin;mso-position-horizontal:absolute;margin-left:-20.149921259842518pt;mso-position-vertical-relative:margin;mso-position-vertical:absolute;margin-top:204.9pt;" alt="" type="#_x0000_t75">
          <v:imagedata blacklevel="22938f" cropbottom="0f" cropleft="0f" cropright="0f" croptop="0f" gain="19661f" r:id="rId1" o:title="image1.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-1384299</wp:posOffset>
          </wp:positionH>
          <wp:positionV relativeFrom="paragraph">
            <wp:posOffset>-756284</wp:posOffset>
          </wp:positionV>
          <wp:extent cx="9065260" cy="309245"/>
          <wp:effectExtent b="0" l="0" r="0" t="0"/>
          <wp:wrapSquare wrapText="bothSides" distB="0" distT="0" distL="114300" distR="114300"/>
          <wp:docPr id="247806551"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3"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-1080134</wp:posOffset>
          </wp:positionH>
          <wp:positionV relativeFrom="paragraph">
            <wp:posOffset>-756284</wp:posOffset>
          </wp:positionV>
          <wp:extent cx="7693025" cy="309880"/>
          <wp:effectExtent b="0" l="0" r="0" t="0"/>
          <wp:wrapSquare wrapText="bothSides" distB="0" distT="0" distL="114300" distR="114300"/>
          <wp:docPr id="247806552"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7693025" cy="30988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A26642"/>
    <w:pPr>
      <w:spacing w:after="160" w:line="259" w:lineRule="auto"/>
    </w:pPr>
    <w:rPr>
      <w:sz w:val="22"/>
      <w:szCs w:val="22"/>
    </w:rPr>
  </w:style>
  <w:style w:type="paragraph" w:styleId="Ttulo1">
    <w:name w:val="heading 1"/>
    <w:basedOn w:val="Normal"/>
    <w:next w:val="Normal"/>
    <w:uiPriority w:val="9"/>
    <w:qFormat w:val="1"/>
    <w:rsid w:val="002500BD"/>
    <w:pPr>
      <w:keepNext w:val="1"/>
      <w:keepLines w:val="1"/>
      <w:spacing w:after="120" w:before="480"/>
      <w:outlineLvl w:val="0"/>
    </w:pPr>
    <w:rPr>
      <w:b w:val="1"/>
      <w:sz w:val="48"/>
      <w:szCs w:val="48"/>
    </w:rPr>
  </w:style>
  <w:style w:type="paragraph" w:styleId="Ttulo2">
    <w:name w:val="heading 2"/>
    <w:basedOn w:val="Normal"/>
    <w:next w:val="Normal"/>
    <w:uiPriority w:val="9"/>
    <w:semiHidden w:val="1"/>
    <w:unhideWhenUsed w:val="1"/>
    <w:qFormat w:val="1"/>
    <w:rsid w:val="002500BD"/>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rsid w:val="002500BD"/>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rsid w:val="002500BD"/>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rsid w:val="002500BD"/>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rsid w:val="002500BD"/>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paragraph" w:styleId="Ttulo">
    <w:name w:val="Title"/>
    <w:basedOn w:val="Normal"/>
    <w:next w:val="Normal"/>
    <w:uiPriority w:val="10"/>
    <w:qFormat w:val="1"/>
    <w:rsid w:val="002500BD"/>
    <w:pPr>
      <w:keepNext w:val="1"/>
      <w:keepLines w:val="1"/>
      <w:spacing w:after="120" w:before="480"/>
    </w:pPr>
    <w:rPr>
      <w:b w:val="1"/>
      <w:sz w:val="72"/>
      <w:szCs w:val="72"/>
    </w:rPr>
  </w:style>
  <w:style w:type="table" w:styleId="TableNormal0"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table" w:styleId="TableNormal1"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table" w:styleId="TableNormal2"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table" w:styleId="TableNormal3"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523131"/>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523131"/>
  </w:style>
  <w:style w:type="paragraph" w:styleId="Rodap">
    <w:name w:val="footer"/>
    <w:basedOn w:val="Normal"/>
    <w:link w:val="RodapChar"/>
    <w:uiPriority w:val="99"/>
    <w:unhideWhenUsed w:val="1"/>
    <w:rsid w:val="00523131"/>
    <w:pPr>
      <w:tabs>
        <w:tab w:val="center" w:pos="4252"/>
        <w:tab w:val="right" w:pos="8504"/>
      </w:tabs>
      <w:spacing w:after="0" w:line="240" w:lineRule="auto"/>
    </w:pPr>
  </w:style>
  <w:style w:type="character" w:styleId="RodapChar" w:customStyle="1">
    <w:name w:val="Rodapé Char"/>
    <w:basedOn w:val="Fontepargpadro"/>
    <w:link w:val="Rodap"/>
    <w:uiPriority w:val="99"/>
    <w:rsid w:val="00523131"/>
  </w:style>
  <w:style w:type="paragraph" w:styleId="Subttulo">
    <w:name w:val="Subtitle"/>
    <w:basedOn w:val="Normal"/>
    <w:next w:val="Normal"/>
    <w:uiPriority w:val="11"/>
    <w:qFormat w:val="1"/>
    <w:rsid w:val="002500BD"/>
    <w:pPr>
      <w:keepNext w:val="1"/>
      <w:keepLines w:val="1"/>
      <w:spacing w:after="80" w:before="360"/>
    </w:pPr>
    <w:rPr>
      <w:rFonts w:ascii="Georgia" w:cs="Georgia" w:eastAsia="Georgia" w:hAnsi="Georgia"/>
      <w:i w:val="1"/>
      <w:color w:val="666666"/>
      <w:sz w:val="48"/>
      <w:szCs w:val="48"/>
    </w:rPr>
  </w:style>
  <w:style w:type="paragraph" w:styleId="text-justify" w:customStyle="1">
    <w:name w:val="text-justify"/>
    <w:basedOn w:val="Normal"/>
    <w:rsid w:val="00222B90"/>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Fontepargpadro"/>
    <w:uiPriority w:val="99"/>
    <w:semiHidden w:val="1"/>
    <w:unhideWhenUsed w:val="1"/>
    <w:rsid w:val="00222B90"/>
    <w:rPr>
      <w:color w:val="0000ff"/>
      <w:u w:val="single"/>
    </w:rPr>
  </w:style>
  <w:style w:type="character" w:styleId="apple-converted-space" w:customStyle="1">
    <w:name w:val="apple-converted-space"/>
    <w:basedOn w:val="Fontepargpadro"/>
    <w:rsid w:val="00222B90"/>
  </w:style>
  <w:style w:type="paragraph" w:styleId="NormalWeb">
    <w:name w:val="Normal (Web)"/>
    <w:basedOn w:val="Normal"/>
    <w:uiPriority w:val="99"/>
    <w:semiHidden w:val="1"/>
    <w:unhideWhenUsed w:val="1"/>
    <w:rsid w:val="00222B90"/>
    <w:pPr>
      <w:spacing w:after="100" w:afterAutospacing="1" w:before="100" w:beforeAutospacing="1" w:line="240" w:lineRule="auto"/>
    </w:pPr>
    <w:rPr>
      <w:rFonts w:ascii="Times New Roman" w:cs="Times New Roman" w:eastAsia="Times New Roman" w:hAnsi="Times New Roman"/>
      <w:sz w:val="24"/>
      <w:szCs w:val="24"/>
    </w:rPr>
  </w:style>
  <w:style w:type="character" w:styleId="Forte">
    <w:name w:val="Strong"/>
    <w:basedOn w:val="Fontepargpadro"/>
    <w:uiPriority w:val="22"/>
    <w:qFormat w:val="1"/>
    <w:rsid w:val="00222B90"/>
    <w:rPr>
      <w:b w:val="1"/>
      <w:bCs w:val="1"/>
    </w:rPr>
  </w:style>
  <w:style w:type="paragraph" w:styleId="text-center" w:customStyle="1">
    <w:name w:val="text-center"/>
    <w:basedOn w:val="Normal"/>
    <w:rsid w:val="00222B90"/>
    <w:pPr>
      <w:spacing w:after="100" w:afterAutospacing="1" w:before="100" w:beforeAutospacing="1" w:line="240" w:lineRule="auto"/>
    </w:pPr>
    <w:rPr>
      <w:rFonts w:ascii="Times New Roman" w:cs="Times New Roman" w:eastAsia="Times New Roman" w:hAnsi="Times New Roman"/>
      <w:sz w:val="24"/>
      <w:szCs w:val="24"/>
    </w:rPr>
  </w:style>
  <w:style w:type="character" w:styleId="Nmerodepgina">
    <w:name w:val="page number"/>
    <w:basedOn w:val="Fontepargpadro"/>
    <w:uiPriority w:val="99"/>
    <w:semiHidden w:val="1"/>
    <w:unhideWhenUsed w:val="1"/>
    <w:rsid w:val="002D77C0"/>
  </w:style>
  <w:style w:type="paragraph" w:styleId="PargrafodaLista">
    <w:name w:val="List Paragraph"/>
    <w:basedOn w:val="Normal"/>
    <w:uiPriority w:val="34"/>
    <w:qFormat w:val="1"/>
    <w:rsid w:val="002D77C0"/>
    <w:pPr>
      <w:ind w:left="720"/>
      <w:contextualSpacing w:val="1"/>
    </w:pPr>
  </w:style>
  <w:style w:type="paragraph" w:styleId="Textodebalo">
    <w:name w:val="Balloon Text"/>
    <w:basedOn w:val="Normal"/>
    <w:link w:val="TextodebaloChar"/>
    <w:uiPriority w:val="99"/>
    <w:semiHidden w:val="1"/>
    <w:unhideWhenUsed w:val="1"/>
    <w:rsid w:val="0023277C"/>
    <w:pPr>
      <w:spacing w:after="0"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23277C"/>
    <w:rPr>
      <w:rFonts w:ascii="Tahoma" w:cs="Tahoma" w:hAnsi="Tahoma"/>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revistas.ufpr.br/psicologia/article/view/3321" TargetMode="External"/><Relationship Id="rId10" Type="http://schemas.openxmlformats.org/officeDocument/2006/relationships/hyperlink" Target="https://periodicos.sbu.unicamp.br/ojs/index.php/cadpagu/article/view/8653413" TargetMode="External"/><Relationship Id="rId13" Type="http://schemas.openxmlformats.org/officeDocument/2006/relationships/header" Target="header2.xml"/><Relationship Id="rId12" Type="http://schemas.openxmlformats.org/officeDocument/2006/relationships/hyperlink" Target="https://periodicos.unoesc.edu.br/espacojuridico/article/view/21447"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na.sacramento@uerj.br" TargetMode="External"/><Relationship Id="rId15" Type="http://schemas.openxmlformats.org/officeDocument/2006/relationships/header" Target="header1.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eoza91@gmail.com" TargetMode="External"/><Relationship Id="rId8" Type="http://schemas.openxmlformats.org/officeDocument/2006/relationships/hyperlink" Target="mailto:davilaurentinogeo@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E6uGi3Za3zgFrrMrRBNTpDjDFQ==">CgMxLjAyDmguaWxrcmRmOWd5N3h6Mg5oLmVlNzZjcmZ0ZHFhaDIOaC5icWt2eTl2aTFsdWkyDWgueWxpMWVnNHl0eTAyDmguNml3b3lmbTQ3MWVpOAByITFDNHl4RVpuQndkd2hERVNCSEN2WXVTU0Q4WHY3NFA2Yg==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2025-02-07T00:59:00Z</dcterms:created>
  <dc:creator>j wludarski</dc:creator>
</cp:coreProperties>
</file>