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11E95">
      <w:pPr>
        <w:spacing w:before="240" w:after="240"/>
        <w:jc w:val="center"/>
        <w:rPr>
          <w:rFonts w:hint="default" w:ascii="Arial" w:hAnsi="Arial" w:eastAsia="Arial" w:cs="Arial"/>
          <w:b/>
          <w:sz w:val="24"/>
          <w:szCs w:val="24"/>
        </w:rPr>
      </w:pPr>
      <w:bookmarkStart w:id="4" w:name="_GoBack"/>
      <w:bookmarkEnd w:id="4"/>
      <w:r>
        <w:rPr>
          <w:rFonts w:hint="default" w:ascii="Arial" w:hAnsi="Arial" w:eastAsia="Arial" w:cs="Arial"/>
          <w:b/>
          <w:sz w:val="24"/>
          <w:szCs w:val="24"/>
        </w:rPr>
        <w:t>MODELO SUGERIDO</w:t>
      </w:r>
    </w:p>
    <w:p w14:paraId="0069D6E3">
      <w:pPr>
        <w:spacing w:before="240" w:after="240"/>
        <w:jc w:val="center"/>
        <w:rPr>
          <w:rFonts w:hint="default" w:ascii="Arial" w:hAnsi="Arial" w:eastAsia="Arial" w:cs="Arial"/>
          <w:b/>
          <w:sz w:val="24"/>
          <w:szCs w:val="24"/>
        </w:rPr>
      </w:pPr>
    </w:p>
    <w:p w14:paraId="3A19D3B5">
      <w:pPr>
        <w:spacing w:before="240" w:after="240"/>
        <w:jc w:val="both"/>
        <w:rPr>
          <w:rFonts w:hint="default" w:ascii="SimSun" w:hAnsi="SimSun" w:eastAsia="SimSun" w:cs="SimSun"/>
          <w:sz w:val="24"/>
          <w:szCs w:val="24"/>
          <w:lang w:val="pt-BR"/>
        </w:rPr>
      </w:pPr>
      <w:r>
        <w:rPr>
          <w:rFonts w:hint="default" w:ascii="Arial" w:hAnsi="Arial" w:eastAsia="Arial" w:cs="Arial"/>
          <w:b/>
          <w:sz w:val="24"/>
          <w:szCs w:val="24"/>
        </w:rPr>
        <w:t xml:space="preserve">Título: </w:t>
      </w:r>
      <w:r>
        <w:rPr>
          <w:rFonts w:hint="default" w:ascii="Arial" w:hAnsi="Arial" w:eastAsia="SimSun" w:cs="Arial"/>
          <w:sz w:val="24"/>
          <w:szCs w:val="24"/>
        </w:rPr>
        <w:t>Oficinas Pedagógicas como Estratégia para a Implementação da Lei 10.639/03 na Formação Docente</w:t>
      </w:r>
      <w:r>
        <w:rPr>
          <w:rFonts w:hint="default" w:ascii="Arial" w:hAnsi="Arial" w:eastAsia="SimSun" w:cs="Arial"/>
          <w:sz w:val="24"/>
          <w:szCs w:val="24"/>
          <w:lang w:val="pt-BR"/>
        </w:rPr>
        <w:t>.</w:t>
      </w:r>
    </w:p>
    <w:p w14:paraId="2C4B1D27">
      <w:pPr>
        <w:spacing w:before="240" w:after="240"/>
        <w:jc w:val="both"/>
        <w:rPr>
          <w:rFonts w:hint="default" w:ascii="Arial" w:hAnsi="Arial" w:cs="Arial"/>
          <w:sz w:val="24"/>
          <w:szCs w:val="24"/>
          <w:lang w:val="pt-BR"/>
        </w:rPr>
      </w:pPr>
      <w:r>
        <w:rPr>
          <w:rFonts w:hint="default" w:ascii="Arial" w:hAnsi="Arial" w:eastAsia="Arial" w:cs="Arial"/>
          <w:b/>
          <w:sz w:val="24"/>
          <w:szCs w:val="24"/>
        </w:rPr>
        <w:t xml:space="preserve">Autor: </w:t>
      </w:r>
      <w:r>
        <w:rPr>
          <w:rFonts w:hint="default" w:ascii="Arial" w:hAnsi="Arial" w:cs="Arial"/>
          <w:sz w:val="24"/>
          <w:szCs w:val="24"/>
        </w:rPr>
        <w:t>Alessandra de Souza Rangel¹, Érica Luciana de Souza Silva²</w:t>
      </w:r>
      <w:r>
        <w:rPr>
          <w:rFonts w:hint="default" w:ascii="Arial" w:hAnsi="Arial" w:cs="Arial"/>
          <w:sz w:val="24"/>
          <w:szCs w:val="24"/>
        </w:rPr>
        <w:br w:type="textWrapping"/>
      </w:r>
      <w:r>
        <w:rPr>
          <w:rFonts w:hint="default" w:ascii="Arial" w:hAnsi="Arial" w:cs="Arial"/>
          <w:sz w:val="24"/>
          <w:szCs w:val="24"/>
        </w:rPr>
        <w:t>¹ Instituto Federal de Educação, Ciência e Tecnologia Fluminense (IFF)</w:t>
      </w:r>
      <w:r>
        <w:rPr>
          <w:rFonts w:hint="default" w:ascii="Arial" w:hAnsi="Arial" w:cs="Arial"/>
          <w:sz w:val="24"/>
          <w:szCs w:val="24"/>
          <w:lang w:val="pt-BR"/>
        </w:rPr>
        <w:t>, rangelsouzaalessandra@gmail.com</w:t>
      </w:r>
      <w:r>
        <w:rPr>
          <w:rFonts w:hint="default" w:ascii="Arial" w:hAnsi="Arial" w:cs="Arial"/>
          <w:sz w:val="24"/>
          <w:szCs w:val="24"/>
        </w:rPr>
        <w:br w:type="textWrapping"/>
      </w:r>
      <w:r>
        <w:rPr>
          <w:rFonts w:hint="default" w:ascii="Arial" w:hAnsi="Arial" w:cs="Arial"/>
          <w:sz w:val="24"/>
          <w:szCs w:val="24"/>
        </w:rPr>
        <w:t>² Instituto Federal de Educação, Ciência e Tecnologia Fluminense (IFF)</w:t>
      </w:r>
      <w:r>
        <w:rPr>
          <w:rFonts w:hint="default" w:ascii="Arial" w:hAnsi="Arial" w:cs="Arial"/>
          <w:sz w:val="24"/>
          <w:szCs w:val="24"/>
          <w:lang w:val="pt-BR"/>
        </w:rPr>
        <w:t xml:space="preserve">,  </w:t>
      </w:r>
      <w:r>
        <w:rPr>
          <w:rFonts w:hint="default" w:ascii="Arial" w:hAnsi="Arial" w:eastAsia="Helvetica" w:cs="Arial"/>
          <w:b w:val="0"/>
          <w:bCs/>
          <w:i w:val="0"/>
          <w:iCs w:val="0"/>
          <w:caps w:val="0"/>
          <w:color w:val="auto"/>
          <w:spacing w:val="0"/>
          <w:sz w:val="24"/>
          <w:szCs w:val="24"/>
          <w:shd w:val="clear" w:fill="FFFFFF"/>
        </w:rPr>
        <w:t>ericaicprof@gmail.com</w:t>
      </w:r>
    </w:p>
    <w:p w14:paraId="4FFB7DC5">
      <w:pPr>
        <w:spacing w:before="240" w:after="240"/>
        <w:jc w:val="both"/>
        <w:rPr>
          <w:rFonts w:hint="default" w:ascii="Arial" w:hAnsi="Arial" w:eastAsia="Arial" w:cs="Arial"/>
          <w:b/>
          <w:sz w:val="24"/>
          <w:szCs w:val="24"/>
        </w:rPr>
      </w:pPr>
      <w:r>
        <w:rPr>
          <w:rFonts w:hint="default" w:ascii="Arial" w:hAnsi="Arial" w:cs="Arial"/>
          <w:sz w:val="24"/>
          <w:szCs w:val="24"/>
        </w:rPr>
        <w:pict>
          <v:rect id="_x0000_i1025" o:spt="1" style="height:1.5pt;width:0pt;" fillcolor="#A0A0A0" filled="t" stroked="f" coordsize="21600,21600" o:hr="t" o:hrstd="t" o:hralign="center">
            <v:path/>
            <v:fill on="t" focussize="0,0"/>
            <v:stroke on="f"/>
            <v:imagedata o:title=""/>
            <o:lock v:ext="edit"/>
            <w10:wrap type="none"/>
            <w10:anchorlock/>
          </v:rect>
        </w:pict>
      </w:r>
    </w:p>
    <w:p w14:paraId="7E14C841">
      <w:pPr>
        <w:spacing w:before="240" w:after="240" w:line="360" w:lineRule="auto"/>
        <w:jc w:val="both"/>
        <w:rPr>
          <w:rFonts w:hint="default" w:ascii="Arial" w:hAnsi="Arial" w:eastAsia="Arial" w:cs="Arial"/>
          <w:b/>
          <w:sz w:val="24"/>
          <w:szCs w:val="24"/>
        </w:rPr>
      </w:pPr>
      <w:r>
        <w:rPr>
          <w:rFonts w:hint="default" w:ascii="Arial" w:hAnsi="Arial" w:eastAsia="Arial" w:cs="Arial"/>
          <w:b/>
          <w:sz w:val="24"/>
          <w:szCs w:val="24"/>
        </w:rPr>
        <w:t>Resumo</w:t>
      </w:r>
    </w:p>
    <w:p w14:paraId="0762D444">
      <w:pPr>
        <w:pStyle w:val="15"/>
        <w:keepNext w:val="0"/>
        <w:keepLines w:val="0"/>
        <w:widowControl/>
        <w:suppressLineNumbers w:val="0"/>
        <w:jc w:val="both"/>
        <w:rPr>
          <w:rFonts w:hint="default" w:ascii="Arial" w:hAnsi="Arial" w:cs="Arial"/>
          <w:sz w:val="24"/>
          <w:szCs w:val="24"/>
        </w:rPr>
      </w:pPr>
      <w:r>
        <w:rPr>
          <w:rFonts w:hint="default" w:ascii="Arial" w:hAnsi="Arial" w:cs="Arial"/>
          <w:sz w:val="24"/>
          <w:szCs w:val="24"/>
        </w:rPr>
        <w:t xml:space="preserve">Este trabalho investiga o uso de oficinas pedagógicas como estratégia interdisciplinar para promover uma educação antirracista e decolonial na formação docente. Fundamentado na Lei 10.639/03, que estabelece a obrigatoriedade do ensino de História e Cultura Afro-Brasileira nos currículos escolares, este estudo busca compreender os desafios de sua implementação na formação de professores de todas as disciplinas, conforme estabelece a Lei 10.639/03. A pesquisa utiliza abordagem qualitativa, combinando revisão bibliográfica e aplicação de oficinas pedagógicas para aferir sua eficácia na capacitação docente. Como produto educacional, foi desenvolvido </w:t>
      </w:r>
      <w:r>
        <w:rPr>
          <w:rFonts w:hint="default" w:ascii="Arial" w:hAnsi="Arial" w:cs="Arial"/>
          <w:sz w:val="24"/>
          <w:szCs w:val="24"/>
          <w:lang w:val="pt-BR"/>
        </w:rPr>
        <w:t>a</w:t>
      </w:r>
      <w:r>
        <w:rPr>
          <w:rFonts w:hint="default" w:ascii="Arial" w:hAnsi="Arial" w:cs="Arial"/>
          <w:sz w:val="24"/>
          <w:szCs w:val="24"/>
        </w:rPr>
        <w:t xml:space="preserve"> OficinAfro, uma oficina pedagógica voltada à formação de professores, com ênfase na valorização da diversidade cultural e no combate ao racismo sistêmico. Os resultados preliminares indicam a necessidade de formação continuada dos docentes e a importância de metodologias dinâmicas e interdisciplinares para a efetiva implementação da lei. Diferentemente das abordagens tradicionais, que frequentemente se limitam à transmissão teórica e conteudista, essas metodologias privilegiam a participação ativa dos professores, promovendo um aprendizado baseado na reflexão crítica, na experimentação e na construção coletiva do conhecimento. </w:t>
      </w:r>
    </w:p>
    <w:p w14:paraId="7BCBC590">
      <w:pPr>
        <w:jc w:val="both"/>
        <w:rPr>
          <w:rFonts w:hint="default" w:eastAsia="SimSun"/>
          <w:color w:val="auto"/>
          <w:lang w:val="pt-BR" w:eastAsia="zh-CN"/>
        </w:rPr>
      </w:pPr>
      <w:r>
        <w:rPr>
          <w:rStyle w:val="10"/>
          <w:rFonts w:hint="default" w:ascii="Arial" w:hAnsi="Arial" w:cs="Arial"/>
          <w:sz w:val="24"/>
          <w:szCs w:val="24"/>
        </w:rPr>
        <w:t>Palavras-chave:</w:t>
      </w:r>
      <w:r>
        <w:rPr>
          <w:rFonts w:hint="default" w:ascii="Arial" w:hAnsi="Arial" w:cs="Arial"/>
          <w:sz w:val="24"/>
          <w:szCs w:val="24"/>
        </w:rPr>
        <w:t xml:space="preserve"> </w:t>
      </w:r>
      <w:r>
        <w:rPr>
          <w:rFonts w:hint="default" w:ascii="Arial" w:hAnsi="Arial" w:eastAsia="SimSun" w:cs="Arial"/>
          <w:color w:val="auto"/>
          <w:sz w:val="24"/>
          <w:szCs w:val="24"/>
          <w:lang w:val="en-US" w:eastAsia="zh-CN"/>
        </w:rPr>
        <w:t>Lei 10.639; História Afro-brasileira; Formação Docente; Oficinas Pedagógicas</w:t>
      </w:r>
      <w:r>
        <w:rPr>
          <w:rFonts w:hint="default" w:ascii="Arial" w:hAnsi="Arial" w:eastAsia="SimSun" w:cs="Arial"/>
          <w:color w:val="auto"/>
          <w:sz w:val="24"/>
          <w:szCs w:val="24"/>
          <w:lang w:val="pt-BR" w:eastAsia="zh-CN"/>
        </w:rPr>
        <w:t>; Educação Antirracista</w:t>
      </w:r>
    </w:p>
    <w:p w14:paraId="36B6B5EB">
      <w:pPr>
        <w:pStyle w:val="15"/>
        <w:keepNext w:val="0"/>
        <w:keepLines w:val="0"/>
        <w:widowControl/>
        <w:suppressLineNumbers w:val="0"/>
        <w:rPr>
          <w:rFonts w:hint="default" w:ascii="Arial" w:hAnsi="Arial" w:cs="Arial"/>
          <w:sz w:val="24"/>
          <w:szCs w:val="24"/>
        </w:rPr>
      </w:pPr>
    </w:p>
    <w:p w14:paraId="3072970A">
      <w:pPr>
        <w:spacing w:before="240" w:after="240" w:line="360" w:lineRule="auto"/>
        <w:jc w:val="both"/>
        <w:rPr>
          <w:rFonts w:hint="default" w:ascii="Arial" w:hAnsi="Arial" w:eastAsia="Arial" w:cs="Arial"/>
          <w:b/>
          <w:sz w:val="24"/>
          <w:szCs w:val="24"/>
          <w:lang w:val="en-US"/>
        </w:rPr>
      </w:pPr>
    </w:p>
    <w:p w14:paraId="280B482E">
      <w:pPr>
        <w:spacing w:before="240" w:after="240" w:line="360" w:lineRule="auto"/>
        <w:jc w:val="both"/>
        <w:rPr>
          <w:rFonts w:hint="default" w:ascii="Arial" w:hAnsi="Arial" w:eastAsia="Arial" w:cs="Arial"/>
          <w:sz w:val="24"/>
          <w:szCs w:val="24"/>
          <w:lang w:val="en-US"/>
        </w:rPr>
      </w:pPr>
      <w:r>
        <w:rPr>
          <w:rFonts w:hint="default" w:ascii="Arial" w:hAnsi="Arial" w:eastAsia="Arial" w:cs="Arial"/>
          <w:b/>
          <w:sz w:val="24"/>
          <w:szCs w:val="24"/>
          <w:lang w:val="en-US"/>
        </w:rPr>
        <w:t>Abstract</w:t>
      </w:r>
    </w:p>
    <w:p w14:paraId="0DBC8699">
      <w:pPr>
        <w:pStyle w:val="15"/>
        <w:keepNext w:val="0"/>
        <w:keepLines w:val="0"/>
        <w:widowControl/>
        <w:suppressLineNumbers w:val="0"/>
        <w:jc w:val="both"/>
        <w:rPr>
          <w:rFonts w:hint="default" w:ascii="Arial" w:hAnsi="Arial" w:cs="Arial"/>
          <w:sz w:val="24"/>
          <w:szCs w:val="24"/>
        </w:rPr>
      </w:pPr>
      <w:r>
        <w:rPr>
          <w:rFonts w:hint="default" w:ascii="Arial" w:hAnsi="Arial" w:cs="Arial"/>
          <w:sz w:val="24"/>
          <w:szCs w:val="24"/>
        </w:rPr>
        <w:t>This study investigates the use of pedagogical workshops as an interdisciplinary strategy to promote anti-racist and decolonial education in teacher training. Based on Law 10.639/03, which mandates the teaching of Afro-Brazilian History and Culture in school curricula, this research seeks to understand the challenges of its implementation in undergraduate teaching programs, especially in History, Pedagogy, Geography, and Social Sciences. The study employs a qualitative approach, combining literature review and pedagogical workshops to assess their effectiveness in teacher training. As an educational product, "OficinAfro" was developed, a set of workshops aimed at training teachers, emphasizing cultural diversity and combating systemic racism. Preliminary results indicate the need for continued teacher education and the importance of dynamic and interdisciplinary methodologies for the effective implementation of the law.</w:t>
      </w:r>
      <w:r>
        <w:rPr>
          <w:rFonts w:hint="default" w:ascii="Arial" w:hAnsi="Arial" w:cs="Arial"/>
          <w:sz w:val="24"/>
          <w:szCs w:val="24"/>
        </w:rPr>
        <w:br w:type="textWrapping"/>
      </w:r>
    </w:p>
    <w:p w14:paraId="69D9EA4B">
      <w:pPr>
        <w:spacing w:before="240" w:after="240"/>
        <w:jc w:val="both"/>
        <w:rPr>
          <w:rFonts w:hint="default" w:ascii="Arial" w:hAnsi="Arial" w:eastAsia="Arial" w:cs="Arial"/>
          <w:sz w:val="24"/>
          <w:szCs w:val="24"/>
        </w:rPr>
      </w:pPr>
      <w:r>
        <w:rPr>
          <w:rStyle w:val="10"/>
          <w:rFonts w:hint="default" w:ascii="Arial" w:hAnsi="Arial" w:eastAsia="SimSun" w:cs="Arial"/>
          <w:sz w:val="24"/>
          <w:szCs w:val="24"/>
        </w:rPr>
        <w:t>Keywords:</w:t>
      </w:r>
      <w:r>
        <w:rPr>
          <w:rFonts w:hint="default" w:ascii="Arial" w:hAnsi="Arial" w:eastAsia="SimSun" w:cs="Arial"/>
          <w:sz w:val="24"/>
          <w:szCs w:val="24"/>
        </w:rPr>
        <w:t xml:space="preserve"> Law 10.639; Afro-Brazilian History; Teacher Education; Pedagogical Workshops; Anti-Racist Education.</w:t>
      </w:r>
      <w:r>
        <w:rPr>
          <w:rFonts w:hint="default" w:ascii="Arial" w:hAnsi="Arial" w:cs="Arial"/>
          <w:sz w:val="24"/>
          <w:szCs w:val="24"/>
        </w:rPr>
        <w:pict>
          <v:rect id="_x0000_i1026" o:spt="1" style="height:1.5pt;width:0pt;" fillcolor="#A0A0A0" filled="t" stroked="f" coordsize="21600,21600" o:hr="t" o:hrstd="t" o:hralign="center">
            <v:path/>
            <v:fill on="t" focussize="0,0"/>
            <v:stroke on="f"/>
            <v:imagedata o:title=""/>
            <o:lock v:ext="edit"/>
            <w10:wrap type="none"/>
            <w10:anchorlock/>
          </v:rect>
        </w:pict>
      </w:r>
    </w:p>
    <w:p w14:paraId="2CD4309F">
      <w:pPr>
        <w:pStyle w:val="3"/>
        <w:keepNext w:val="0"/>
        <w:keepLines w:val="0"/>
        <w:jc w:val="both"/>
        <w:rPr>
          <w:rFonts w:hint="default" w:ascii="Arial" w:hAnsi="Arial" w:eastAsia="Arial" w:cs="Arial"/>
          <w:sz w:val="24"/>
          <w:szCs w:val="24"/>
        </w:rPr>
      </w:pPr>
      <w:bookmarkStart w:id="0" w:name="_ozfxted4ubl5" w:colFirst="0" w:colLast="0"/>
      <w:bookmarkEnd w:id="0"/>
      <w:r>
        <w:rPr>
          <w:rFonts w:hint="default" w:ascii="Arial" w:hAnsi="Arial" w:eastAsia="Arial" w:cs="Arial"/>
          <w:sz w:val="24"/>
          <w:szCs w:val="24"/>
        </w:rPr>
        <w:t>1. Introdução</w:t>
      </w:r>
    </w:p>
    <w:p w14:paraId="5D0AB1CC">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sz w:val="24"/>
          <w:szCs w:val="24"/>
        </w:rPr>
      </w:pPr>
      <w:r>
        <w:rPr>
          <w:rFonts w:hint="default" w:ascii="Arial" w:hAnsi="Arial" w:cs="Arial"/>
          <w:sz w:val="24"/>
          <w:szCs w:val="24"/>
        </w:rPr>
        <w:t>A inserção da História e Cultura Afro-Brasileira nos currículos escolares, conforme estabelecido pela Lei 10.639/03, representa um avanço significativo na luta por uma educação antirracista. No entanto, sua implementação ainda enfrenta desafios estruturais, especialmente na formação de professores. Como apontam Candau (2012) e Nascimento (2002), a ausência de uma abordagem crítica das relações étnico-raciais na formação docente dificulta a efetivação de práticas pedagógicas voltadas para a valorização da cultura afro-brasileira e africana. Além disso, segundo Gomes (2017), o racismo sistêmico presente nas instituições educacionais perpetua a invisibilidade das contribuições dos povos africanos e afrodescendentes na construção da sociedade brasileira.</w:t>
      </w:r>
    </w:p>
    <w:p w14:paraId="766D7ACF">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sz w:val="24"/>
          <w:szCs w:val="24"/>
        </w:rPr>
      </w:pPr>
      <w:r>
        <w:rPr>
          <w:rFonts w:hint="default" w:ascii="Arial" w:hAnsi="Arial" w:cs="Arial"/>
          <w:sz w:val="24"/>
          <w:szCs w:val="24"/>
        </w:rPr>
        <w:t>Mesmo após mais de duas décadas da promulgação da lei, sua aplicação ainda é limitada, muitas vezes reduzida a abordagens pontuais, como atividades em datas comemorativas, sem um compromisso efetivo com a transversalidade do tema no ensino. Segundo Munanga (2005), a falta de formação específica para os docentes contribui para essa limitação, tornando-se essencial a criação de estratégias que possibilitem uma abordagem mais aprofundada e contínua.</w:t>
      </w:r>
    </w:p>
    <w:p w14:paraId="10D65988">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eastAsia="Arial" w:cs="Arial"/>
          <w:sz w:val="24"/>
          <w:szCs w:val="24"/>
        </w:rPr>
      </w:pPr>
      <w:r>
        <w:rPr>
          <w:rFonts w:hint="default" w:ascii="Arial" w:hAnsi="Arial" w:cs="Arial"/>
          <w:sz w:val="24"/>
          <w:szCs w:val="24"/>
        </w:rPr>
        <w:t>Diante desse cenário, este trabalho investiga como oficinas pedagógicas podem contribuir para a formação de professores, oferecendo ferramentas práticas e conceituais para a implementação efetiva da lei. Diferente das abordagens tradicionais, as oficinas promovem a participação ativa dos professores em experiências significativas, permitindo um ensino mais crítico e reflexivo sobre as relações étnico-raciais. A partir dessa proposta, busca-se fortalecer a construção de uma educação antirracista, que reconheça e valorize a diversidade cultural do Brasil.</w:t>
      </w:r>
    </w:p>
    <w:p w14:paraId="36EA683C">
      <w:pPr>
        <w:pStyle w:val="3"/>
        <w:keepNext w:val="0"/>
        <w:keepLines w:val="0"/>
        <w:jc w:val="both"/>
        <w:rPr>
          <w:rFonts w:hint="default" w:ascii="Arial" w:hAnsi="Arial" w:cs="Arial"/>
          <w:sz w:val="24"/>
          <w:szCs w:val="24"/>
        </w:rPr>
      </w:pPr>
      <w:bookmarkStart w:id="1" w:name="_pcn4zwrzdkyd" w:colFirst="0" w:colLast="0"/>
      <w:bookmarkEnd w:id="1"/>
      <w:r>
        <w:rPr>
          <w:rFonts w:hint="default" w:ascii="Arial" w:hAnsi="Arial" w:eastAsia="Arial" w:cs="Arial"/>
          <w:sz w:val="24"/>
          <w:szCs w:val="24"/>
        </w:rPr>
        <w:t>2. Metodologia</w:t>
      </w:r>
      <w:bookmarkStart w:id="2" w:name="_c1wrm1ysj9z6" w:colFirst="0" w:colLast="0"/>
      <w:bookmarkEnd w:id="2"/>
    </w:p>
    <w:p w14:paraId="00AD2868">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sz w:val="24"/>
          <w:szCs w:val="24"/>
        </w:rPr>
      </w:pPr>
      <w:r>
        <w:rPr>
          <w:rFonts w:hint="default" w:ascii="Arial" w:hAnsi="Arial" w:cs="Arial"/>
          <w:sz w:val="24"/>
          <w:szCs w:val="24"/>
        </w:rPr>
        <w:t>Este estudo adota uma abordagem qualitativa, combinando revisão bibliográfica com a aplicação de oficinas pedagógicas. O Produto Educacional "OficinAfro" foi desenvolvido para atender à formação inicial e continuada de professores, oferecendo um espaço de aprendizado crítico-reflexivo sobre a Lei 10.639/03.</w:t>
      </w:r>
    </w:p>
    <w:p w14:paraId="2D5B97F7">
      <w:pPr>
        <w:spacing w:line="360" w:lineRule="auto"/>
        <w:ind w:firstLine="720" w:firstLineChars="0"/>
        <w:jc w:val="both"/>
        <w:rPr>
          <w:rFonts w:hint="default" w:ascii="Arial" w:hAnsi="Arial" w:cs="Arial"/>
          <w:sz w:val="24"/>
          <w:szCs w:val="24"/>
        </w:rPr>
      </w:pPr>
      <w:r>
        <w:rPr>
          <w:rFonts w:hint="default" w:ascii="Arial" w:hAnsi="Arial" w:cs="Arial"/>
          <w:sz w:val="24"/>
          <w:szCs w:val="24"/>
        </w:rPr>
        <w:t>A identidade visual da oficina, representada pela logomarca OficinAfro, sintetiza a proposta interdisciplinar do projeto, unindo elementos da ciência, cultura e tecnologia africana. Os símbolos presentes na arte remetem à ancestralidade e à inovação, reforçando a importância do reconhecimento das contribuições africanas para diversas áreas do conhecimento.</w:t>
      </w:r>
    </w:p>
    <w:p w14:paraId="60DE8FD5">
      <w:pPr>
        <w:pStyle w:val="28"/>
      </w:pPr>
      <w:r>
        <w:t xml:space="preserve">Figura </w:t>
      </w:r>
      <w:r>
        <w:rPr>
          <w:rFonts w:hint="default"/>
          <w:lang w:val="pt-BR"/>
        </w:rPr>
        <w:t>1</w:t>
      </w:r>
      <w:r>
        <w:t xml:space="preserve"> - Logomarca do Produto Educacional</w:t>
      </w:r>
    </w:p>
    <w:p w14:paraId="5CEC93B2">
      <w:pPr>
        <w:spacing w:line="360" w:lineRule="auto"/>
        <w:jc w:val="both"/>
        <w:rPr>
          <w:rFonts w:hint="default" w:ascii="Arial" w:hAnsi="Arial" w:cs="Arial"/>
          <w:sz w:val="24"/>
          <w:szCs w:val="24"/>
        </w:rPr>
      </w:pPr>
    </w:p>
    <w:p w14:paraId="42E3E7DB">
      <w:pPr>
        <w:spacing w:line="360" w:lineRule="auto"/>
        <w:jc w:val="both"/>
        <w:rPr>
          <w:rFonts w:hint="default" w:ascii="Arial" w:hAnsi="Arial" w:cs="Arial"/>
          <w:sz w:val="24"/>
          <w:szCs w:val="24"/>
          <w:lang w:val="pt-BR"/>
        </w:rPr>
      </w:pPr>
      <w:r>
        <w:rPr>
          <w:rFonts w:hint="default" w:ascii="Arial" w:hAnsi="Arial" w:cs="Arial"/>
          <w:sz w:val="24"/>
          <w:szCs w:val="24"/>
          <w:lang w:val="pt-BR"/>
        </w:rPr>
        <w:drawing>
          <wp:inline distT="0" distB="0" distL="114300" distR="114300">
            <wp:extent cx="5833110" cy="1466215"/>
            <wp:effectExtent l="0" t="0" r="3810" b="12065"/>
            <wp:docPr id="6" name="Imagem 6" descr="oficinafro_transpar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oficinafro_transparente"/>
                    <pic:cNvPicPr>
                      <a:picLocks noChangeAspect="1"/>
                    </pic:cNvPicPr>
                  </pic:nvPicPr>
                  <pic:blipFill>
                    <a:blip r:embed="rId11"/>
                    <a:stretch>
                      <a:fillRect/>
                    </a:stretch>
                  </pic:blipFill>
                  <pic:spPr>
                    <a:xfrm>
                      <a:off x="0" y="0"/>
                      <a:ext cx="5833110" cy="1466215"/>
                    </a:xfrm>
                    <a:prstGeom prst="rect">
                      <a:avLst/>
                    </a:prstGeom>
                  </pic:spPr>
                </pic:pic>
              </a:graphicData>
            </a:graphic>
          </wp:inline>
        </w:drawing>
      </w:r>
    </w:p>
    <w:p w14:paraId="5B379AB5">
      <w:pPr>
        <w:pStyle w:val="28"/>
      </w:pPr>
      <w:r>
        <w:rPr>
          <w:bCs/>
        </w:rPr>
        <w:t>Fonte: Elaboração própria.</w:t>
      </w:r>
    </w:p>
    <w:p w14:paraId="6A04C800">
      <w:pPr>
        <w:spacing w:line="360" w:lineRule="auto"/>
        <w:jc w:val="both"/>
        <w:rPr>
          <w:rFonts w:hint="default" w:ascii="Arial" w:hAnsi="Arial" w:cs="Arial"/>
          <w:sz w:val="24"/>
          <w:szCs w:val="24"/>
        </w:rPr>
      </w:pPr>
    </w:p>
    <w:p w14:paraId="2D148612">
      <w:pPr>
        <w:spacing w:line="360" w:lineRule="auto"/>
        <w:jc w:val="both"/>
        <w:rPr>
          <w:rFonts w:hint="default" w:ascii="Arial" w:hAnsi="Arial" w:cs="Arial"/>
          <w:sz w:val="24"/>
          <w:szCs w:val="24"/>
        </w:rPr>
      </w:pPr>
    </w:p>
    <w:p w14:paraId="11F05E2D">
      <w:pPr>
        <w:spacing w:line="360" w:lineRule="auto"/>
        <w:jc w:val="both"/>
        <w:rPr>
          <w:rFonts w:hint="default" w:ascii="Arial" w:hAnsi="Arial" w:cs="Arial"/>
          <w:sz w:val="24"/>
          <w:szCs w:val="24"/>
        </w:rPr>
      </w:pPr>
    </w:p>
    <w:p w14:paraId="0C218D6E">
      <w:pPr>
        <w:spacing w:line="360" w:lineRule="auto"/>
        <w:ind w:firstLine="720" w:firstLineChars="0"/>
        <w:jc w:val="both"/>
        <w:rPr>
          <w:rFonts w:hint="default" w:ascii="Arial" w:hAnsi="Arial" w:cs="Arial"/>
          <w:sz w:val="24"/>
          <w:szCs w:val="24"/>
        </w:rPr>
      </w:pPr>
      <w:r>
        <w:rPr>
          <w:rFonts w:hint="default" w:ascii="Arial" w:hAnsi="Arial" w:cs="Arial"/>
          <w:sz w:val="24"/>
          <w:szCs w:val="24"/>
        </w:rPr>
        <w:t>O processo de construção da oficina envolveu três etapas principais:</w:t>
      </w:r>
    </w:p>
    <w:p w14:paraId="7CF82007">
      <w:pPr>
        <w:spacing w:line="360" w:lineRule="auto"/>
        <w:ind w:firstLine="720" w:firstLineChars="0"/>
        <w:jc w:val="both"/>
        <w:rPr>
          <w:rFonts w:hint="default" w:ascii="Arial" w:hAnsi="Arial" w:cs="Arial"/>
          <w:sz w:val="24"/>
          <w:szCs w:val="24"/>
        </w:rPr>
      </w:pPr>
      <w:r>
        <w:rPr>
          <w:rFonts w:hint="default" w:ascii="Arial" w:hAnsi="Arial" w:cs="Arial"/>
          <w:sz w:val="24"/>
          <w:szCs w:val="24"/>
        </w:rPr>
        <w:t>Revisão bibliográfica – Levantamento de referenciais teóricos sobre educação antirracista, formação docente e metodologias ativas, com base em autores como Fanon (2008), Nascimento (2016) e Candau (2008).</w:t>
      </w:r>
    </w:p>
    <w:p w14:paraId="2CC33785">
      <w:pPr>
        <w:spacing w:line="360" w:lineRule="auto"/>
        <w:jc w:val="both"/>
        <w:rPr>
          <w:rFonts w:hint="default" w:ascii="Arial" w:hAnsi="Arial" w:cs="Arial"/>
          <w:sz w:val="24"/>
          <w:szCs w:val="24"/>
        </w:rPr>
      </w:pPr>
      <w:r>
        <w:rPr>
          <w:rFonts w:hint="default" w:ascii="Arial" w:hAnsi="Arial" w:cs="Arial"/>
          <w:sz w:val="24"/>
          <w:szCs w:val="24"/>
        </w:rPr>
        <w:t>Planejamento e desenvolvimento da oficina – Estruturação de atividades interdisciplinares, dinâmicas reflexivas e materiais didáticos que contemplassem diferentes estratégias para o ensino da História e Cultura Afro-Brasileira.</w:t>
      </w:r>
    </w:p>
    <w:p w14:paraId="71EC8E6B">
      <w:pPr>
        <w:spacing w:line="360" w:lineRule="auto"/>
        <w:ind w:firstLine="720" w:firstLineChars="0"/>
        <w:jc w:val="both"/>
        <w:rPr>
          <w:rFonts w:hint="default" w:ascii="Arial" w:hAnsi="Arial" w:cs="Arial"/>
          <w:sz w:val="24"/>
          <w:szCs w:val="24"/>
        </w:rPr>
      </w:pPr>
      <w:r>
        <w:rPr>
          <w:rFonts w:hint="default" w:ascii="Arial" w:hAnsi="Arial" w:cs="Arial"/>
          <w:sz w:val="24"/>
          <w:szCs w:val="24"/>
        </w:rPr>
        <w:t xml:space="preserve">Aplicação e análise dos resultados – Realização da oficina no Instituto Federal Fluminense (IFF - Campus Centro), com </w:t>
      </w:r>
      <w:r>
        <w:rPr>
          <w:rFonts w:hint="default" w:ascii="Arial" w:hAnsi="Arial" w:cs="Arial"/>
          <w:sz w:val="24"/>
          <w:szCs w:val="24"/>
          <w:lang w:val="pt-BR"/>
        </w:rPr>
        <w:t>alunos</w:t>
      </w:r>
      <w:r>
        <w:rPr>
          <w:rFonts w:hint="default" w:ascii="Arial" w:hAnsi="Arial" w:cs="Arial"/>
          <w:sz w:val="24"/>
          <w:szCs w:val="24"/>
        </w:rPr>
        <w:t xml:space="preserve"> do Mestrado Profissional em Ensino e suas Tecnologias (MPET). Os dados </w:t>
      </w:r>
      <w:r>
        <w:rPr>
          <w:rFonts w:hint="default" w:ascii="Arial" w:hAnsi="Arial" w:cs="Arial"/>
          <w:sz w:val="24"/>
          <w:szCs w:val="24"/>
          <w:lang w:val="pt-BR"/>
        </w:rPr>
        <w:t>estão sendo</w:t>
      </w:r>
      <w:r>
        <w:rPr>
          <w:rFonts w:hint="default" w:ascii="Arial" w:hAnsi="Arial" w:cs="Arial"/>
          <w:sz w:val="24"/>
          <w:szCs w:val="24"/>
        </w:rPr>
        <w:t xml:space="preserve"> coletados por meio de questionários diagnósticos</w:t>
      </w:r>
      <w:r>
        <w:rPr>
          <w:rFonts w:hint="default" w:ascii="Arial" w:hAnsi="Arial" w:cs="Arial"/>
          <w:sz w:val="24"/>
          <w:szCs w:val="24"/>
          <w:lang w:val="pt-BR"/>
        </w:rPr>
        <w:t>, observação</w:t>
      </w:r>
      <w:r>
        <w:rPr>
          <w:rFonts w:hint="default" w:ascii="Arial" w:hAnsi="Arial" w:cs="Arial"/>
          <w:sz w:val="24"/>
          <w:szCs w:val="24"/>
        </w:rPr>
        <w:t xml:space="preserve"> e análise documental.</w:t>
      </w:r>
    </w:p>
    <w:p w14:paraId="3BDB7AE0">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sz w:val="24"/>
          <w:szCs w:val="24"/>
        </w:rPr>
      </w:pPr>
      <w:r>
        <w:rPr>
          <w:rFonts w:hint="default" w:ascii="Arial" w:hAnsi="Arial" w:cs="Arial"/>
          <w:sz w:val="24"/>
          <w:szCs w:val="24"/>
          <w:lang w:val="pt-BR"/>
        </w:rPr>
        <w:t>A</w:t>
      </w:r>
      <w:r>
        <w:rPr>
          <w:rFonts w:hint="default" w:ascii="Arial" w:hAnsi="Arial" w:cs="Arial"/>
          <w:sz w:val="24"/>
          <w:szCs w:val="24"/>
        </w:rPr>
        <w:t xml:space="preserve"> OficinAfro busc</w:t>
      </w:r>
      <w:r>
        <w:rPr>
          <w:rFonts w:hint="default" w:ascii="Arial" w:hAnsi="Arial" w:cs="Arial"/>
          <w:sz w:val="24"/>
          <w:szCs w:val="24"/>
          <w:lang w:val="pt-BR"/>
        </w:rPr>
        <w:t>a</w:t>
      </w:r>
      <w:r>
        <w:rPr>
          <w:rFonts w:hint="default" w:ascii="Arial" w:hAnsi="Arial" w:cs="Arial"/>
          <w:sz w:val="24"/>
          <w:szCs w:val="24"/>
        </w:rPr>
        <w:t xml:space="preserve"> </w:t>
      </w:r>
      <w:r>
        <w:rPr>
          <w:rFonts w:hint="default" w:ascii="Arial" w:hAnsi="Arial" w:cs="Arial"/>
          <w:sz w:val="24"/>
          <w:szCs w:val="24"/>
          <w:lang w:val="pt-BR"/>
        </w:rPr>
        <w:t>afastar-se de</w:t>
      </w:r>
      <w:r>
        <w:rPr>
          <w:rFonts w:hint="default" w:ascii="Arial" w:hAnsi="Arial" w:cs="Arial"/>
          <w:sz w:val="24"/>
          <w:szCs w:val="24"/>
        </w:rPr>
        <w:t xml:space="preserve"> abordagens tradicionais e conteudistas ao adotar uma metodologia baseada na problematização e na construção coletiva do conhecimento, conforme proposto por Freire (1987). Além disso, </w:t>
      </w:r>
      <w:r>
        <w:rPr>
          <w:rFonts w:hint="default" w:ascii="Arial" w:hAnsi="Arial" w:cs="Arial"/>
          <w:sz w:val="24"/>
          <w:szCs w:val="24"/>
          <w:lang w:val="pt-BR"/>
        </w:rPr>
        <w:t>propõe a utilização de</w:t>
      </w:r>
      <w:r>
        <w:rPr>
          <w:rFonts w:hint="default" w:ascii="Arial" w:hAnsi="Arial" w:cs="Arial"/>
          <w:sz w:val="24"/>
          <w:szCs w:val="24"/>
        </w:rPr>
        <w:t xml:space="preserve"> recursos didáticos que promovem o ensino interativo e a participação ativa dos docentes, incentivando a aplicação prática dos conteúdos em suas disciplinas.</w:t>
      </w:r>
    </w:p>
    <w:p w14:paraId="6D955570">
      <w:pPr>
        <w:pStyle w:val="3"/>
        <w:keepNext w:val="0"/>
        <w:keepLines w:val="0"/>
        <w:jc w:val="both"/>
        <w:rPr>
          <w:rFonts w:hint="default" w:ascii="Arial" w:hAnsi="Arial" w:eastAsia="Arial" w:cs="Arial"/>
          <w:sz w:val="24"/>
          <w:szCs w:val="24"/>
        </w:rPr>
      </w:pPr>
      <w:r>
        <w:rPr>
          <w:rFonts w:hint="default" w:ascii="Arial" w:hAnsi="Arial" w:eastAsia="Arial" w:cs="Arial"/>
          <w:sz w:val="24"/>
          <w:szCs w:val="24"/>
        </w:rPr>
        <w:t>3. Resultados e Discussão</w:t>
      </w:r>
    </w:p>
    <w:p w14:paraId="33A5F793">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rPr>
      </w:pPr>
      <w:r>
        <w:rPr>
          <w:rFonts w:hint="default" w:ascii="Arial" w:hAnsi="Arial" w:cs="Arial"/>
        </w:rPr>
        <w:t>Os resultados preliminares da pesquisa apontam que há um reconhecimento da relevância de iniciativas voltadas para a implementação da Lei 10.639/03 na formação docente. Durante a fase de aproximação com o campo de atuação, que incluiu diálogos com professores e a coordenação do Mestrado Profissional em Ensino Tecnológico (MPET) do IFF Centro, constatou-se um interesse significativo na temática e na proposta da oficina. Relatos orais indicaram que a ausência de disciplinas específicas nos currículos de formação inicial pode dificultar a aplicação da lei na prática pedagógica.</w:t>
      </w:r>
    </w:p>
    <w:p w14:paraId="34ABC7B9">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rPr>
      </w:pPr>
      <w:r>
        <w:rPr>
          <w:rFonts w:hint="default" w:ascii="Arial" w:hAnsi="Arial" w:cs="Arial"/>
        </w:rPr>
        <w:t>Além disso, a coordenação do MPET enfatizou a relevância do projeto, ressaltando que ações como essa contribuem para suprir lacunas da formação docente e fomentar uma educação mais inclusiva e antirracista. Durante esse processo, foi perceptível o grande interesse dos alunos do MPET em participar da oficina, reconhecendo-a como uma oportunidade de aprimoramento profissional. Muitos destacaram, em conversas informais, que a atividade poderá oferecer subsídios concretos para a prática pedagógica, fornecendo ferramentas metodológicas para a abordagem da História e Cultura Afro-Brasileira em suas respectivas áreas de atuação.</w:t>
      </w:r>
    </w:p>
    <w:p w14:paraId="35CC65EF">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rPr>
      </w:pPr>
      <w:r>
        <w:rPr>
          <w:rFonts w:hint="default" w:ascii="Arial" w:hAnsi="Arial" w:cs="Arial"/>
        </w:rPr>
        <w:t>Outro aspecto relevante identificado nas interações iniciais foi a expectativa dos participantes em relação à abordagem interdisciplinar da oficina. Professores de diferentes áreas manifestaram interesse em compreender como os conteúdos podem ser inseridos em suas práticas, demonstrando que há demanda por estratégias concretas de aplicação. Essa recepção positiva reforça a importância de proporcionar não apenas reflexões teóricas, mas também exemplos práticos e materiais que possam ser utilizados no cotidiano escolar.</w:t>
      </w:r>
    </w:p>
    <w:p w14:paraId="5300D934">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rPr>
      </w:pPr>
      <w:r>
        <w:rPr>
          <w:rFonts w:hint="default" w:ascii="Arial" w:hAnsi="Arial" w:cs="Arial"/>
        </w:rPr>
        <w:t>Esses resultados reforçam a necessidade de iniciativas institucionais que garantam a efetiva implementação da Lei 10.639/03 desde a formação inicial, ampliando as possibilidades de atuação dos professores no ensino da História e Cultura Afro-Brasileira. A oficina proposta se insere nesse contexto como um espaço formativo que visa proporcionar uma experiência imersiva e interdisciplinar, promovendo reflexões e estratégias para a inserção dessas temáticas nas diferentes áreas do conhecimento.</w:t>
      </w:r>
    </w:p>
    <w:p w14:paraId="254D512C">
      <w:pPr>
        <w:numPr>
          <w:numId w:val="0"/>
        </w:numPr>
        <w:spacing w:after="240" w:line="276" w:lineRule="auto"/>
        <w:jc w:val="both"/>
        <w:rPr>
          <w:rFonts w:hint="default" w:ascii="Arial" w:hAnsi="Arial" w:eastAsia="Arial" w:cs="Arial"/>
          <w:sz w:val="24"/>
          <w:szCs w:val="24"/>
        </w:rPr>
      </w:pPr>
    </w:p>
    <w:p w14:paraId="1E3070AF">
      <w:pPr>
        <w:pStyle w:val="3"/>
        <w:keepNext w:val="0"/>
        <w:keepLines w:val="0"/>
        <w:numPr>
          <w:ilvl w:val="0"/>
          <w:numId w:val="1"/>
        </w:numPr>
        <w:jc w:val="both"/>
        <w:rPr>
          <w:rFonts w:hint="default" w:ascii="Arial" w:hAnsi="Arial" w:eastAsia="Arial" w:cs="Arial"/>
          <w:sz w:val="24"/>
          <w:szCs w:val="24"/>
        </w:rPr>
      </w:pPr>
      <w:bookmarkStart w:id="3" w:name="_u8dvdtu6gzl1" w:colFirst="0" w:colLast="0"/>
      <w:bookmarkEnd w:id="3"/>
      <w:r>
        <w:rPr>
          <w:rFonts w:hint="default" w:ascii="Arial" w:hAnsi="Arial" w:eastAsia="Arial" w:cs="Arial"/>
          <w:sz w:val="24"/>
          <w:szCs w:val="24"/>
        </w:rPr>
        <w:t>Conclusão</w:t>
      </w:r>
    </w:p>
    <w:p w14:paraId="264FD530">
      <w:pPr>
        <w:numPr>
          <w:numId w:val="0"/>
        </w:numPr>
        <w:rPr>
          <w:rFonts w:hint="default"/>
        </w:rPr>
      </w:pPr>
    </w:p>
    <w:p w14:paraId="4B8A2D7A">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rPr>
      </w:pPr>
      <w:r>
        <w:rPr>
          <w:rFonts w:hint="default" w:ascii="Arial" w:hAnsi="Arial" w:cs="Arial"/>
        </w:rPr>
        <w:t>Os resultados preliminares desta pesquisa apontam para a importância de iniciativas formativas que auxiliem os docentes na implementação da Lei 10.639/03. A ausência de disciplinas voltadas para a História e Cultura Afro-Brasileira em diversas licenciaturas reforça a necessidade de estratégias pedagógicas que preencham essa lacuna. A aproximação com o campo de atuação revelou grande interesse dos professores do MPET em participar da oficina pedagógica, bem como a percepção de que esse tipo de formação pode contribuir significativamente para suas práticas profissionais.</w:t>
      </w:r>
    </w:p>
    <w:p w14:paraId="50708334">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rPr>
      </w:pPr>
      <w:r>
        <w:rPr>
          <w:rFonts w:hint="default" w:ascii="Arial" w:hAnsi="Arial" w:cs="Arial"/>
        </w:rPr>
        <w:t>Além disso, a receptividade ao convite e os relatos orais coletados até o momento indicam que há uma demanda concreta por metodologias que auxiliem na inserção desse conteúdo de forma interdisciplinar. O reconhecimento da relevância do tema por parte dos docentes reforça a necessidade de ampliar discussões sobre a formação inicial e continuada de professores, de modo a garantir a efetiva aplicação da Lei 10.639/03 na educação básica.</w:t>
      </w:r>
    </w:p>
    <w:p w14:paraId="361DF902">
      <w:pPr>
        <w:pStyle w:val="15"/>
        <w:keepNext w:val="0"/>
        <w:keepLines w:val="0"/>
        <w:widowControl/>
        <w:suppressLineNumbers w:val="0"/>
        <w:spacing w:before="0" w:beforeAutospacing="1" w:after="0" w:afterAutospacing="1" w:line="360" w:lineRule="auto"/>
        <w:ind w:left="0" w:right="0" w:firstLine="720" w:firstLineChars="0"/>
        <w:jc w:val="both"/>
        <w:rPr>
          <w:rFonts w:hint="default" w:ascii="Arial" w:hAnsi="Arial" w:cs="Arial"/>
        </w:rPr>
      </w:pPr>
      <w:r>
        <w:rPr>
          <w:rFonts w:hint="default" w:ascii="Arial" w:hAnsi="Arial" w:cs="Arial"/>
        </w:rPr>
        <w:t>Com a realização da oficina prevista, espera-se aprofundar essa investigação, coletando novos dados sobre a aplicabilidade das estratégias pedagógicas propostas e sobre os impactos da formação na prática docente. Dessa forma, a pesquisa poderá contribuir para reflexões sobre políticas de formação docente e para a construção de alternativas que promovam uma educação mais inclusiva e alinhada às diretrizes da educação antirracista.</w:t>
      </w:r>
    </w:p>
    <w:p w14:paraId="53915DB8">
      <w:pPr>
        <w:pStyle w:val="3"/>
        <w:keepNext w:val="0"/>
        <w:keepLines w:val="0"/>
        <w:jc w:val="both"/>
        <w:rPr>
          <w:rFonts w:hint="default" w:ascii="Arial" w:hAnsi="Arial" w:eastAsia="Arial" w:cs="Arial"/>
          <w:sz w:val="24"/>
          <w:szCs w:val="24"/>
        </w:rPr>
      </w:pPr>
      <w:r>
        <w:rPr>
          <w:rFonts w:hint="default" w:ascii="Arial" w:hAnsi="Arial" w:eastAsia="Arial" w:cs="Arial"/>
          <w:sz w:val="24"/>
          <w:szCs w:val="24"/>
        </w:rPr>
        <w:t>5. Referências</w:t>
      </w:r>
    </w:p>
    <w:p w14:paraId="2C9B73BF">
      <w:pPr>
        <w:pStyle w:val="15"/>
        <w:keepNext w:val="0"/>
        <w:keepLines w:val="0"/>
        <w:widowControl/>
        <w:suppressLineNumbers w:val="0"/>
        <w:spacing w:before="0" w:beforeAutospacing="1" w:after="0" w:afterAutospacing="1"/>
        <w:ind w:left="0" w:right="0"/>
        <w:jc w:val="both"/>
        <w:rPr>
          <w:rFonts w:hint="default" w:ascii="Arial" w:hAnsi="Arial" w:cs="Arial"/>
          <w:sz w:val="20"/>
          <w:szCs w:val="20"/>
        </w:rPr>
      </w:pPr>
      <w:r>
        <w:rPr>
          <w:rFonts w:hint="default" w:ascii="Arial" w:hAnsi="Arial" w:cs="Arial"/>
          <w:sz w:val="20"/>
          <w:szCs w:val="20"/>
        </w:rPr>
        <w:t xml:space="preserve">BRASIL. </w:t>
      </w:r>
      <w:r>
        <w:rPr>
          <w:rStyle w:val="10"/>
          <w:rFonts w:hint="default" w:ascii="Arial" w:hAnsi="Arial" w:cs="Arial"/>
          <w:sz w:val="20"/>
          <w:szCs w:val="20"/>
        </w:rPr>
        <w:t>Lei nº 10.639, de 9 de janeiro de 2003.</w:t>
      </w:r>
      <w:r>
        <w:rPr>
          <w:rFonts w:hint="default" w:ascii="Arial" w:hAnsi="Arial" w:cs="Arial"/>
          <w:sz w:val="20"/>
          <w:szCs w:val="20"/>
        </w:rPr>
        <w:t xml:space="preserve"> Altera a Lei nº 9.394, de 20 de dezembro de 1996, que estabelece as diretrizes e bases da educação nacional, para incluir no currículo oficial da Rede de Ensino a obrigatoriedade da temática "História e Cultura Afro-Brasileira", e dá outras providências. </w:t>
      </w:r>
      <w:r>
        <w:rPr>
          <w:rStyle w:val="11"/>
          <w:rFonts w:hint="default" w:ascii="Arial" w:hAnsi="Arial" w:cs="Arial"/>
          <w:sz w:val="20"/>
          <w:szCs w:val="20"/>
        </w:rPr>
        <w:t>Diário Oficial da União</w:t>
      </w:r>
      <w:r>
        <w:rPr>
          <w:rFonts w:hint="default" w:ascii="Arial" w:hAnsi="Arial" w:cs="Arial"/>
          <w:sz w:val="20"/>
          <w:szCs w:val="20"/>
        </w:rPr>
        <w:t>, Brasília, DF, 10 jan. 2003.</w:t>
      </w:r>
    </w:p>
    <w:p w14:paraId="252CA99D">
      <w:pPr>
        <w:pStyle w:val="15"/>
        <w:keepNext w:val="0"/>
        <w:keepLines w:val="0"/>
        <w:widowControl/>
        <w:suppressLineNumbers w:val="0"/>
        <w:spacing w:before="0" w:beforeAutospacing="1" w:after="0" w:afterAutospacing="1"/>
        <w:ind w:left="0" w:right="0"/>
        <w:jc w:val="both"/>
        <w:rPr>
          <w:rFonts w:hint="default" w:ascii="Arial" w:hAnsi="Arial" w:cs="Arial"/>
          <w:sz w:val="20"/>
          <w:szCs w:val="20"/>
        </w:rPr>
      </w:pPr>
      <w:r>
        <w:rPr>
          <w:rFonts w:hint="default" w:ascii="Arial" w:hAnsi="Arial" w:cs="Arial"/>
          <w:sz w:val="20"/>
          <w:szCs w:val="20"/>
        </w:rPr>
        <w:t xml:space="preserve">CANDAU, Vera Maria. </w:t>
      </w:r>
      <w:r>
        <w:rPr>
          <w:rStyle w:val="10"/>
          <w:rFonts w:hint="default" w:ascii="Arial" w:hAnsi="Arial" w:cs="Arial"/>
          <w:sz w:val="20"/>
          <w:szCs w:val="20"/>
        </w:rPr>
        <w:t>Educação intercultural na América Latina: entre concepções, tensões e propostas.</w:t>
      </w:r>
      <w:r>
        <w:rPr>
          <w:rFonts w:hint="default" w:ascii="Arial" w:hAnsi="Arial" w:cs="Arial"/>
          <w:sz w:val="20"/>
          <w:szCs w:val="20"/>
        </w:rPr>
        <w:t xml:space="preserve"> </w:t>
      </w:r>
      <w:r>
        <w:rPr>
          <w:rStyle w:val="11"/>
          <w:rFonts w:hint="default" w:ascii="Arial" w:hAnsi="Arial" w:cs="Arial"/>
          <w:sz w:val="20"/>
          <w:szCs w:val="20"/>
        </w:rPr>
        <w:t>Educação &amp; Sociedade</w:t>
      </w:r>
      <w:r>
        <w:rPr>
          <w:rFonts w:hint="default" w:ascii="Arial" w:hAnsi="Arial" w:cs="Arial"/>
          <w:sz w:val="20"/>
          <w:szCs w:val="20"/>
        </w:rPr>
        <w:t>, v. 33, n. 118, p. 837-854, 2012.</w:t>
      </w:r>
    </w:p>
    <w:p w14:paraId="151E5711">
      <w:pPr>
        <w:pStyle w:val="15"/>
        <w:keepNext w:val="0"/>
        <w:keepLines w:val="0"/>
        <w:widowControl/>
        <w:suppressLineNumbers w:val="0"/>
        <w:spacing w:before="0" w:beforeAutospacing="1" w:after="0" w:afterAutospacing="1"/>
        <w:ind w:left="0" w:right="0"/>
        <w:jc w:val="both"/>
        <w:rPr>
          <w:rFonts w:hint="default" w:ascii="Arial" w:hAnsi="Arial" w:cs="Arial"/>
          <w:sz w:val="20"/>
          <w:szCs w:val="20"/>
        </w:rPr>
      </w:pPr>
      <w:r>
        <w:rPr>
          <w:rFonts w:hint="default" w:ascii="Arial" w:hAnsi="Arial" w:cs="Arial"/>
          <w:sz w:val="20"/>
          <w:szCs w:val="20"/>
        </w:rPr>
        <w:t xml:space="preserve">FANON, Frantz. </w:t>
      </w:r>
      <w:r>
        <w:rPr>
          <w:rStyle w:val="10"/>
          <w:rFonts w:hint="default" w:ascii="Arial" w:hAnsi="Arial" w:cs="Arial"/>
          <w:sz w:val="20"/>
          <w:szCs w:val="20"/>
        </w:rPr>
        <w:t>Pele negra, máscaras brancas.</w:t>
      </w:r>
      <w:r>
        <w:rPr>
          <w:rFonts w:hint="default" w:ascii="Arial" w:hAnsi="Arial" w:cs="Arial"/>
          <w:sz w:val="20"/>
          <w:szCs w:val="20"/>
        </w:rPr>
        <w:t xml:space="preserve"> Trad. Renato da Silva. Salvador: EDUFBA, 2008.</w:t>
      </w:r>
    </w:p>
    <w:p w14:paraId="5EF02D63">
      <w:pPr>
        <w:pStyle w:val="15"/>
        <w:keepNext w:val="0"/>
        <w:keepLines w:val="0"/>
        <w:widowControl/>
        <w:suppressLineNumbers w:val="0"/>
        <w:spacing w:before="0" w:beforeAutospacing="1" w:after="0" w:afterAutospacing="1"/>
        <w:ind w:left="0" w:right="0"/>
        <w:jc w:val="both"/>
        <w:rPr>
          <w:rFonts w:hint="default" w:ascii="Arial" w:hAnsi="Arial" w:cs="Arial"/>
          <w:sz w:val="20"/>
          <w:szCs w:val="20"/>
        </w:rPr>
      </w:pPr>
      <w:r>
        <w:rPr>
          <w:rFonts w:hint="default" w:ascii="Arial" w:hAnsi="Arial" w:cs="Arial"/>
          <w:sz w:val="20"/>
          <w:szCs w:val="20"/>
        </w:rPr>
        <w:t xml:space="preserve">GOMES, Nilma Lino. </w:t>
      </w:r>
      <w:r>
        <w:rPr>
          <w:rStyle w:val="10"/>
          <w:rFonts w:hint="default" w:ascii="Arial" w:hAnsi="Arial" w:cs="Arial"/>
          <w:sz w:val="20"/>
          <w:szCs w:val="20"/>
        </w:rPr>
        <w:t>Educação, identidade negra e formação de professores: ações educativas afirmativas e descolonização dos saberes.</w:t>
      </w:r>
      <w:r>
        <w:rPr>
          <w:rFonts w:hint="default" w:ascii="Arial" w:hAnsi="Arial" w:cs="Arial"/>
          <w:sz w:val="20"/>
          <w:szCs w:val="20"/>
        </w:rPr>
        <w:t xml:space="preserve"> Belo Horizonte: Autêntica, 2017.</w:t>
      </w:r>
    </w:p>
    <w:p w14:paraId="0577E303">
      <w:pPr>
        <w:pStyle w:val="15"/>
        <w:keepNext w:val="0"/>
        <w:keepLines w:val="0"/>
        <w:widowControl/>
        <w:suppressLineNumbers w:val="0"/>
        <w:spacing w:before="0" w:beforeAutospacing="1" w:after="0" w:afterAutospacing="1"/>
        <w:ind w:left="0" w:right="0"/>
        <w:jc w:val="both"/>
        <w:rPr>
          <w:rFonts w:hint="default" w:ascii="Arial" w:hAnsi="Arial" w:cs="Arial"/>
          <w:sz w:val="20"/>
          <w:szCs w:val="20"/>
        </w:rPr>
      </w:pPr>
      <w:r>
        <w:rPr>
          <w:rFonts w:hint="default" w:ascii="Arial" w:hAnsi="Arial" w:cs="Arial"/>
          <w:sz w:val="20"/>
          <w:szCs w:val="20"/>
        </w:rPr>
        <w:t xml:space="preserve">MATTOS, Regiane B. </w:t>
      </w:r>
      <w:r>
        <w:rPr>
          <w:rStyle w:val="10"/>
          <w:rFonts w:hint="default" w:ascii="Arial" w:hAnsi="Arial" w:cs="Arial"/>
          <w:sz w:val="20"/>
          <w:szCs w:val="20"/>
        </w:rPr>
        <w:t>A Lei 10.639/03 e a educação das relações étnico-raciais: desafios e possibilidades.</w:t>
      </w:r>
      <w:r>
        <w:rPr>
          <w:rFonts w:hint="default" w:ascii="Arial" w:hAnsi="Arial" w:cs="Arial"/>
          <w:sz w:val="20"/>
          <w:szCs w:val="20"/>
        </w:rPr>
        <w:t xml:space="preserve"> Curitiba: Appris, 2020.</w:t>
      </w:r>
    </w:p>
    <w:p w14:paraId="191976D1">
      <w:pPr>
        <w:pStyle w:val="15"/>
        <w:keepNext w:val="0"/>
        <w:keepLines w:val="0"/>
        <w:widowControl/>
        <w:suppressLineNumbers w:val="0"/>
        <w:spacing w:before="0" w:beforeAutospacing="1" w:after="0" w:afterAutospacing="1"/>
        <w:ind w:left="0" w:right="0"/>
        <w:jc w:val="both"/>
        <w:rPr>
          <w:rFonts w:hint="default" w:ascii="Arial" w:hAnsi="Arial" w:cs="Arial"/>
          <w:sz w:val="20"/>
          <w:szCs w:val="20"/>
        </w:rPr>
      </w:pPr>
      <w:r>
        <w:rPr>
          <w:rFonts w:hint="default" w:ascii="Arial" w:hAnsi="Arial" w:cs="Arial"/>
          <w:sz w:val="20"/>
          <w:szCs w:val="20"/>
        </w:rPr>
        <w:t xml:space="preserve">MUNANGA, Kabengele. </w:t>
      </w:r>
      <w:r>
        <w:rPr>
          <w:rStyle w:val="10"/>
          <w:rFonts w:hint="default" w:ascii="Arial" w:hAnsi="Arial" w:cs="Arial"/>
          <w:sz w:val="20"/>
          <w:szCs w:val="20"/>
        </w:rPr>
        <w:t>Rediscutindo a mestiçagem no Brasil: identidade nacional versus identidade negra.</w:t>
      </w:r>
      <w:r>
        <w:rPr>
          <w:rFonts w:hint="default" w:ascii="Arial" w:hAnsi="Arial" w:cs="Arial"/>
          <w:sz w:val="20"/>
          <w:szCs w:val="20"/>
        </w:rPr>
        <w:t xml:space="preserve"> Belo Horizonte: Autêntica, 2005.</w:t>
      </w:r>
    </w:p>
    <w:p w14:paraId="1C6DEA5B">
      <w:pPr>
        <w:pStyle w:val="15"/>
        <w:keepNext w:val="0"/>
        <w:keepLines w:val="0"/>
        <w:widowControl/>
        <w:suppressLineNumbers w:val="0"/>
        <w:spacing w:before="0" w:beforeAutospacing="1" w:after="0" w:afterAutospacing="1"/>
        <w:ind w:left="0" w:right="0"/>
        <w:jc w:val="both"/>
        <w:rPr>
          <w:rFonts w:hint="default" w:ascii="Arial" w:hAnsi="Arial" w:cs="Arial"/>
          <w:sz w:val="20"/>
          <w:szCs w:val="20"/>
        </w:rPr>
      </w:pPr>
      <w:r>
        <w:rPr>
          <w:rFonts w:hint="default" w:ascii="Arial" w:hAnsi="Arial" w:cs="Arial"/>
          <w:sz w:val="20"/>
          <w:szCs w:val="20"/>
        </w:rPr>
        <w:t xml:space="preserve">NASCIMENTO, Abdias do. </w:t>
      </w:r>
      <w:r>
        <w:rPr>
          <w:rStyle w:val="10"/>
          <w:rFonts w:hint="default" w:ascii="Arial" w:hAnsi="Arial" w:cs="Arial"/>
          <w:sz w:val="20"/>
          <w:szCs w:val="20"/>
        </w:rPr>
        <w:t>O genocídio do negro brasileiro: processo de um racismo mascarado.</w:t>
      </w:r>
      <w:r>
        <w:rPr>
          <w:rFonts w:hint="default" w:ascii="Arial" w:hAnsi="Arial" w:cs="Arial"/>
          <w:sz w:val="20"/>
          <w:szCs w:val="20"/>
        </w:rPr>
        <w:t xml:space="preserve"> São Paulo: Perspectiva, 2002.</w:t>
      </w:r>
    </w:p>
    <w:p w14:paraId="4BE29E26">
      <w:pPr>
        <w:spacing w:before="200" w:after="200" w:line="360" w:lineRule="auto"/>
        <w:jc w:val="both"/>
        <w:rPr>
          <w:rFonts w:hint="default" w:ascii="Arial" w:hAnsi="Arial" w:eastAsia="Times New Roman" w:cs="Arial"/>
          <w:sz w:val="24"/>
          <w:szCs w:val="24"/>
        </w:rPr>
      </w:pPr>
    </w:p>
    <w:p w14:paraId="4FD9FC5C">
      <w:pPr>
        <w:spacing w:before="200" w:after="200" w:line="360" w:lineRule="auto"/>
        <w:jc w:val="both"/>
        <w:rPr>
          <w:rFonts w:hint="default" w:ascii="Arial" w:hAnsi="Arial" w:eastAsia="Times New Roman" w:cs="Arial"/>
          <w:sz w:val="24"/>
          <w:szCs w:val="24"/>
        </w:rPr>
      </w:pPr>
    </w:p>
    <w:p w14:paraId="78B3261E">
      <w:pPr>
        <w:spacing w:before="200" w:after="200" w:line="360" w:lineRule="auto"/>
        <w:jc w:val="both"/>
        <w:rPr>
          <w:rFonts w:hint="default" w:ascii="Arial" w:hAnsi="Arial" w:eastAsia="Times New Roman" w:cs="Arial"/>
          <w:sz w:val="24"/>
          <w:szCs w:val="24"/>
        </w:rPr>
      </w:pPr>
    </w:p>
    <w:p w14:paraId="0BCA3ECB">
      <w:pPr>
        <w:spacing w:before="200" w:after="200" w:line="360" w:lineRule="auto"/>
        <w:jc w:val="both"/>
        <w:rPr>
          <w:rFonts w:hint="default" w:ascii="Arial" w:hAnsi="Arial" w:eastAsia="Times New Roman" w:cs="Arial"/>
          <w:sz w:val="24"/>
          <w:szCs w:val="24"/>
        </w:rPr>
      </w:pPr>
    </w:p>
    <w:p w14:paraId="3474472C">
      <w:pPr>
        <w:spacing w:before="200" w:after="200" w:line="360" w:lineRule="auto"/>
        <w:jc w:val="both"/>
        <w:rPr>
          <w:rFonts w:hint="default" w:ascii="Arial" w:hAnsi="Arial" w:eastAsia="Times New Roman" w:cs="Arial"/>
          <w:sz w:val="24"/>
          <w:szCs w:val="24"/>
        </w:rPr>
      </w:pPr>
    </w:p>
    <w:sectPr>
      <w:headerReference r:id="rId7" w:type="first"/>
      <w:footerReference r:id="rId9" w:type="first"/>
      <w:headerReference r:id="rId5" w:type="default"/>
      <w:footerReference r:id="rId8" w:type="default"/>
      <w:headerReference r:id="rId6" w:type="even"/>
      <w:pgSz w:w="11906" w:h="16838"/>
      <w:pgMar w:top="1985" w:right="1134" w:bottom="1701" w:left="1701" w:header="1701" w:footer="272" w:gutter="0"/>
      <w:pgNumType w:start="1"/>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Arial Black">
    <w:panose1 w:val="020B0A04020102020204"/>
    <w:charset w:val="00"/>
    <w:family w:val="auto"/>
    <w:pitch w:val="default"/>
    <w:sig w:usb0="A00002AF" w:usb1="400078FB" w:usb2="00000000" w:usb3="00000000" w:csb0="6000009F" w:csb1="DFD70000"/>
  </w:font>
  <w:font w:name="Segoe UI Variable Display Semibold">
    <w:panose1 w:val="00000000000000000000"/>
    <w:charset w:val="00"/>
    <w:family w:val="auto"/>
    <w:pitch w:val="default"/>
    <w:sig w:usb0="A00002FF" w:usb1="0000000B" w:usb2="00000000" w:usb3="00000000" w:csb0="2000019F" w:csb1="00000000"/>
  </w:font>
  <w:font w:name="Alef">
    <w:panose1 w:val="00000500000000000000"/>
    <w:charset w:val="00"/>
    <w:family w:val="auto"/>
    <w:pitch w:val="default"/>
    <w:sig w:usb0="00000807" w:usb1="40000000" w:usb2="00000000" w:usb3="00000000" w:csb0="200000B3" w:csb1="00000000"/>
  </w:font>
  <w:font w:name="Helvetica">
    <w:altName w:val="Arial"/>
    <w:panose1 w:val="00000000000000000000"/>
    <w:charset w:val="00"/>
    <w:family w:val="auto"/>
    <w:pitch w:val="default"/>
    <w:sig w:usb0="00000000" w:usb1="00000000" w:usb2="00000000" w:usb3="00000000" w:csb0="0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EC252">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after="0" w:line="240" w:lineRule="auto"/>
      <w:ind w:left="-1695"/>
      <w:rPr>
        <w:color w:val="000000"/>
      </w:rPr>
    </w:pPr>
    <w:r>
      <w:drawing>
        <wp:inline distT="0" distB="0" distL="0" distR="0">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AB27D">
    <w:pPr>
      <w:pStyle w:val="17"/>
      <w:ind w:left="-1701"/>
    </w:pPr>
    <w:r>
      <w:drawing>
        <wp:inline distT="0" distB="0" distL="0" distR="0">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F2905">
    <w:pPr>
      <w:pStyle w:val="16"/>
      <w:framePr w:wrap="auto" w:vAnchor="text" w:hAnchor="page" w:x="10666" w:y="-1014"/>
      <w:rPr>
        <w:rStyle w:val="13"/>
        <w:rFonts w:ascii="Times New Roman" w:hAnsi="Times New Roman" w:cs="Times New Roman"/>
        <w:sz w:val="24"/>
        <w:szCs w:val="24"/>
      </w:rPr>
    </w:pPr>
    <w:r>
      <w:rPr>
        <w:rStyle w:val="13"/>
        <w:rFonts w:ascii="Times New Roman" w:hAnsi="Times New Roman" w:cs="Times New Roman"/>
        <w:sz w:val="24"/>
        <w:szCs w:val="24"/>
      </w:rPr>
      <w:fldChar w:fldCharType="begin"/>
    </w:r>
    <w:r>
      <w:rPr>
        <w:rStyle w:val="13"/>
        <w:rFonts w:ascii="Times New Roman" w:hAnsi="Times New Roman" w:cs="Times New Roman"/>
        <w:sz w:val="24"/>
        <w:szCs w:val="24"/>
      </w:rPr>
      <w:instrText xml:space="preserve"> PAGE </w:instrText>
    </w:r>
    <w:r>
      <w:rPr>
        <w:rStyle w:val="13"/>
        <w:rFonts w:ascii="Times New Roman" w:hAnsi="Times New Roman" w:cs="Times New Roman"/>
        <w:sz w:val="24"/>
        <w:szCs w:val="24"/>
      </w:rPr>
      <w:fldChar w:fldCharType="separate"/>
    </w:r>
    <w:r>
      <w:rPr>
        <w:rStyle w:val="13"/>
        <w:rFonts w:ascii="Times New Roman" w:hAnsi="Times New Roman" w:cs="Times New Roman"/>
        <w:sz w:val="24"/>
        <w:szCs w:val="24"/>
      </w:rPr>
      <w:t>2</w:t>
    </w:r>
    <w:r>
      <w:rPr>
        <w:rStyle w:val="13"/>
        <w:rFonts w:ascii="Times New Roman" w:hAnsi="Times New Roman" w:cs="Times New Roman"/>
        <w:sz w:val="24"/>
        <w:szCs w:val="24"/>
      </w:rPr>
      <w:fldChar w:fldCharType="end"/>
    </w:r>
  </w:p>
  <w:p w14:paraId="71B55A03">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after="0" w:line="240" w:lineRule="auto"/>
      <w:ind w:right="360"/>
      <w:rPr>
        <w:color w:val="000000"/>
      </w:rPr>
    </w:pPr>
    <w:r>
      <w:rPr>
        <w:rFonts w:ascii="Times New Roman" w:hAnsi="Times New Roman" w:cs="Times New Roman"/>
        <w:sz w:val="24"/>
        <w:szCs w:val="24"/>
      </w:rPr>
      <w:pict>
        <v:shape id="WordPictureWatermark45145798" o:spid="_x0000_s1032" o:spt="75" type="#_x0000_t75" style="position:absolute;left:0pt;margin-left:-20.15pt;margin-top:204.9pt;height:316.35pt;width:453.4pt;mso-position-horizontal-relative:margin;mso-position-vertical-relative:margin;z-index:-251653120;mso-width-relative:page;mso-height-relative:page;" filled="f" o:preferrelative="t" stroked="f" coordsize="21600,21600" o:allowincell="f">
          <v:path/>
          <v:fill on="f" focussize="0,0"/>
          <v:stroke on="f" joinstyle="miter"/>
          <v:imagedata r:id="rId1" gain="19661f" blacklevel="22938f" o:title="LAPIAS_MAO_isolado"/>
          <o:lock v:ext="edit" aspectratio="t"/>
        </v:shape>
      </w:pict>
    </w:r>
    <w:r>
      <w:drawing>
        <wp:anchor distT="0" distB="0" distL="114300" distR="114300" simplePos="0" relativeHeight="251660288" behindDoc="0" locked="0" layoutInCell="1" allowOverlap="1">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9065260" cy="30924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84590">
    <w:pPr>
      <w:pStyle w:val="16"/>
      <w:framePr w:wrap="auto" w:vAnchor="text" w:hAnchor="margin" w:xAlign="right" w:y="1"/>
      <w:rPr>
        <w:rStyle w:val="13"/>
      </w:rPr>
    </w:pPr>
    <w:r>
      <w:pict>
        <v:shape id="WordPictureWatermark45145797" o:spid="_x0000_s1031" o:spt="75" type="#_x0000_t75" style="position:absolute;left:0pt;height:316.35pt;width:453.4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LAPIAS_MAO_isolado"/>
          <o:lock v:ext="edit" aspectratio="t"/>
        </v:shape>
      </w:pict>
    </w:r>
    <w:r>
      <w:rPr>
        <w:rStyle w:val="13"/>
      </w:rPr>
      <w:fldChar w:fldCharType="begin"/>
    </w:r>
    <w:r>
      <w:rPr>
        <w:rStyle w:val="13"/>
      </w:rPr>
      <w:instrText xml:space="preserve"> PAGE </w:instrText>
    </w:r>
    <w:r>
      <w:rPr>
        <w:rStyle w:val="13"/>
      </w:rPr>
      <w:fldChar w:fldCharType="end"/>
    </w:r>
  </w:p>
  <w:p w14:paraId="6E01775B">
    <w:pPr>
      <w:pStyle w:val="16"/>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1544F">
    <w:pPr>
      <w:pStyle w:val="16"/>
      <w:ind w:left="-1701"/>
    </w:pPr>
    <w:r>
      <w:pict>
        <v:shape id="WordPictureWatermark45145796" o:spid="_x0000_s1030" o:spt="75" type="#_x0000_t75" style="position:absolute;left:0pt;height:316.35pt;width:453.4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LAPIAS_MAO_isolado"/>
          <o:lock v:ext="edit" aspectratio="t"/>
        </v:shape>
      </w:pict>
    </w:r>
    <w:r>
      <w:drawing>
        <wp:anchor distT="0" distB="0" distL="114300" distR="114300" simplePos="0" relativeHeight="251659264" behindDoc="0" locked="0" layoutInCell="1" allowOverlap="1">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80655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693025" cy="30988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DBD939"/>
    <w:multiLevelType w:val="singleLevel"/>
    <w:tmpl w:val="25DBD939"/>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hdrShapeDefaults>
    <o:shapelayout v:ext="edit">
      <o:idmap v:ext="edit" data="1"/>
    </o:shapelayout>
  </w:hdrShapeDefault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DA0"/>
    <w:rsid w:val="00035C33"/>
    <w:rsid w:val="00151EC1"/>
    <w:rsid w:val="00173068"/>
    <w:rsid w:val="00222B90"/>
    <w:rsid w:val="0023277C"/>
    <w:rsid w:val="002500BD"/>
    <w:rsid w:val="002D77C0"/>
    <w:rsid w:val="003207DA"/>
    <w:rsid w:val="00352D9B"/>
    <w:rsid w:val="00361EC4"/>
    <w:rsid w:val="004D6F9A"/>
    <w:rsid w:val="0051116C"/>
    <w:rsid w:val="005352E5"/>
    <w:rsid w:val="00535490"/>
    <w:rsid w:val="005D6986"/>
    <w:rsid w:val="0069365F"/>
    <w:rsid w:val="0072597F"/>
    <w:rsid w:val="00814DA0"/>
    <w:rsid w:val="00857725"/>
    <w:rsid w:val="008C0439"/>
    <w:rsid w:val="009528FD"/>
    <w:rsid w:val="00957C81"/>
    <w:rsid w:val="00B51029"/>
    <w:rsid w:val="00B56E42"/>
    <w:rsid w:val="00B876D9"/>
    <w:rsid w:val="00C21CAE"/>
    <w:rsid w:val="00C71E09"/>
    <w:rsid w:val="00D17C15"/>
    <w:rsid w:val="00D732BA"/>
    <w:rsid w:val="00DA40A2"/>
    <w:rsid w:val="00EE48FF"/>
    <w:rsid w:val="00EF27BE"/>
    <w:rsid w:val="0DF57180"/>
    <w:rsid w:val="11C11BE8"/>
    <w:rsid w:val="212343F7"/>
    <w:rsid w:val="26406B61"/>
    <w:rsid w:val="27C253BD"/>
    <w:rsid w:val="2CC65596"/>
    <w:rsid w:val="3F2F0F0F"/>
    <w:rsid w:val="431D2D50"/>
    <w:rsid w:val="43854AF7"/>
    <w:rsid w:val="4FAF787B"/>
    <w:rsid w:val="5B0C05CE"/>
    <w:rsid w:val="64440EC0"/>
  </w:rsids>
  <m:mathPr>
    <m:mathFont m:val="Cambria Math"/>
    <m:brkBin m:val="before"/>
    <m:brkBinSub m:val="--"/>
    <m:smallFrac m:val="1"/>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Calibri" w:hAnsi="Calibri" w:eastAsia="Calibri" w:cs="Calibri"/>
      <w:sz w:val="22"/>
      <w:szCs w:val="22"/>
      <w:lang w:val="pt-BR" w:eastAsia="pt-BR"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8">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character" w:styleId="10">
    <w:name w:val="Strong"/>
    <w:basedOn w:val="8"/>
    <w:qFormat/>
    <w:uiPriority w:val="22"/>
    <w:rPr>
      <w:b/>
      <w:bCs/>
    </w:rPr>
  </w:style>
  <w:style w:type="character" w:styleId="11">
    <w:name w:val="Emphasis"/>
    <w:basedOn w:val="8"/>
    <w:qFormat/>
    <w:uiPriority w:val="20"/>
    <w:rPr>
      <w:i/>
      <w:iCs/>
    </w:rPr>
  </w:style>
  <w:style w:type="character" w:styleId="12">
    <w:name w:val="Hyperlink"/>
    <w:basedOn w:val="8"/>
    <w:semiHidden/>
    <w:unhideWhenUsed/>
    <w:uiPriority w:val="99"/>
    <w:rPr>
      <w:color w:val="0000FF"/>
      <w:u w:val="single"/>
    </w:rPr>
  </w:style>
  <w:style w:type="character" w:styleId="13">
    <w:name w:val="page number"/>
    <w:basedOn w:val="8"/>
    <w:semiHidden/>
    <w:unhideWhenUsed/>
    <w:uiPriority w:val="99"/>
  </w:style>
  <w:style w:type="paragraph" w:styleId="14">
    <w:name w:val="Title"/>
    <w:basedOn w:val="1"/>
    <w:next w:val="1"/>
    <w:qFormat/>
    <w:uiPriority w:val="10"/>
    <w:pPr>
      <w:keepNext/>
      <w:keepLines/>
      <w:spacing w:before="480" w:after="120"/>
    </w:pPr>
    <w:rPr>
      <w:b/>
      <w:sz w:val="72"/>
      <w:szCs w:val="72"/>
    </w:rPr>
  </w:style>
  <w:style w:type="paragraph" w:styleId="15">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16">
    <w:name w:val="header"/>
    <w:basedOn w:val="1"/>
    <w:link w:val="21"/>
    <w:unhideWhenUsed/>
    <w:uiPriority w:val="99"/>
    <w:pPr>
      <w:tabs>
        <w:tab w:val="center" w:pos="4252"/>
        <w:tab w:val="right" w:pos="8504"/>
      </w:tabs>
      <w:spacing w:after="0" w:line="240" w:lineRule="auto"/>
    </w:pPr>
  </w:style>
  <w:style w:type="paragraph" w:styleId="17">
    <w:name w:val="footer"/>
    <w:basedOn w:val="1"/>
    <w:link w:val="22"/>
    <w:unhideWhenUsed/>
    <w:uiPriority w:val="99"/>
    <w:pPr>
      <w:tabs>
        <w:tab w:val="center" w:pos="4252"/>
        <w:tab w:val="right" w:pos="8504"/>
      </w:tabs>
      <w:spacing w:after="0" w:line="240" w:lineRule="auto"/>
    </w:pPr>
  </w:style>
  <w:style w:type="paragraph" w:styleId="18">
    <w:name w:val="Balloon Text"/>
    <w:basedOn w:val="1"/>
    <w:link w:val="27"/>
    <w:semiHidden/>
    <w:unhideWhenUsed/>
    <w:uiPriority w:val="99"/>
    <w:pPr>
      <w:spacing w:after="0" w:line="240" w:lineRule="auto"/>
    </w:pPr>
    <w:rPr>
      <w:rFonts w:ascii="Tahoma" w:hAnsi="Tahoma" w:cs="Tahoma"/>
      <w:sz w:val="16"/>
      <w:szCs w:val="16"/>
    </w:rPr>
  </w:style>
  <w:style w:type="paragraph" w:styleId="19">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customStyle="1" w:styleId="20">
    <w:name w:val="Table Normal"/>
    <w:uiPriority w:val="0"/>
    <w:pPr>
      <w:spacing w:after="160" w:line="259" w:lineRule="auto"/>
    </w:pPr>
    <w:rPr>
      <w:sz w:val="22"/>
      <w:szCs w:val="22"/>
    </w:rPr>
    <w:tblPr>
      <w:tblCellMar>
        <w:top w:w="0" w:type="dxa"/>
        <w:left w:w="0" w:type="dxa"/>
        <w:bottom w:w="0" w:type="dxa"/>
        <w:right w:w="0" w:type="dxa"/>
      </w:tblCellMar>
    </w:tblPr>
  </w:style>
  <w:style w:type="character" w:customStyle="1" w:styleId="21">
    <w:name w:val="Cabeçalho Char"/>
    <w:basedOn w:val="8"/>
    <w:link w:val="16"/>
    <w:uiPriority w:val="99"/>
  </w:style>
  <w:style w:type="character" w:customStyle="1" w:styleId="22">
    <w:name w:val="Rodapé Char"/>
    <w:basedOn w:val="8"/>
    <w:link w:val="17"/>
    <w:uiPriority w:val="99"/>
  </w:style>
  <w:style w:type="paragraph" w:customStyle="1" w:styleId="23">
    <w:name w:val="text-justify"/>
    <w:basedOn w:val="1"/>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24">
    <w:name w:val="apple-converted-space"/>
    <w:basedOn w:val="8"/>
    <w:uiPriority w:val="0"/>
  </w:style>
  <w:style w:type="paragraph" w:customStyle="1" w:styleId="25">
    <w:name w:val="text-center"/>
    <w:basedOn w:val="1"/>
    <w:uiPriority w:val="0"/>
    <w:pPr>
      <w:spacing w:before="100" w:beforeAutospacing="1" w:after="100" w:afterAutospacing="1" w:line="240" w:lineRule="auto"/>
    </w:pPr>
    <w:rPr>
      <w:rFonts w:ascii="Times New Roman" w:hAnsi="Times New Roman" w:eastAsia="Times New Roman" w:cs="Times New Roman"/>
      <w:sz w:val="24"/>
      <w:szCs w:val="24"/>
    </w:rPr>
  </w:style>
  <w:style w:type="paragraph" w:styleId="26">
    <w:name w:val="List Paragraph"/>
    <w:basedOn w:val="1"/>
    <w:qFormat/>
    <w:uiPriority w:val="34"/>
    <w:pPr>
      <w:ind w:left="720"/>
      <w:contextualSpacing/>
    </w:pPr>
  </w:style>
  <w:style w:type="character" w:customStyle="1" w:styleId="27">
    <w:name w:val="Texto de balão Char"/>
    <w:basedOn w:val="8"/>
    <w:link w:val="18"/>
    <w:semiHidden/>
    <w:uiPriority w:val="99"/>
    <w:rPr>
      <w:rFonts w:ascii="Tahoma" w:hAnsi="Tahoma" w:cs="Tahoma"/>
      <w:sz w:val="16"/>
      <w:szCs w:val="16"/>
    </w:rPr>
  </w:style>
  <w:style w:type="paragraph" w:customStyle="1" w:styleId="28">
    <w:name w:val="Figura 1"/>
    <w:basedOn w:val="1"/>
    <w:uiPriority w:val="6"/>
    <w:pPr>
      <w:spacing w:before="240" w:after="0" w:line="100" w:lineRule="atLeast"/>
      <w:jc w:val="center"/>
    </w:pPr>
    <w:rPr>
      <w:rFonts w:ascii="Times New Roman" w:hAnsi="Times New Roman"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theme" Target="theme/theme1.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32"/>
    <customShpInfo spid="_x0000_s1031"/>
    <customShpInfo spid="_x0000_s1030"/>
  </customShpExt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264</Words>
  <Characters>1428</Characters>
  <Lines>11</Lines>
  <Paragraphs>3</Paragraphs>
  <TotalTime>178</TotalTime>
  <ScaleCrop>false</ScaleCrop>
  <LinksUpToDate>false</LinksUpToDate>
  <CharactersWithSpaces>1689</CharactersWithSpaces>
  <Application>WPS Office_12.2.0.20326_F1E327BC-269C-435d-A152-05C5408002CA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2025-02-07T00:59:00Z</dcterms:created>
  <dc:creator>j wludarski</dc:creator>
  <cp:lastModifiedBy>Essencial Festas</cp:lastModifiedBy>
  <dcterms:modified xsi:type="dcterms:W3CDTF">2025-04-04T01:28:16Z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1046-12.2.0.20326</vt:lpwstr>
  </property>
  <property fmtid="{D5CDD505-2E9C-101B-9397-08002B2CF9AE}" pid="3" name="ICV">
    <vt:lpwstr>690C42E0819746B095745FC0F15F73A1_13</vt:lpwstr>
  </property>
</Properties>
</file>