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Formação do Docente em Geografia e os Desafios da implementação da Lei 10.639/03 nas Universidades Públicas do Rio de Janeiro</w:t>
      </w:r>
      <w:r w:rsidDel="00000000" w:rsidR="00000000" w:rsidRPr="00000000">
        <w:rPr>
          <w:rtl w:val="0"/>
        </w:rPr>
      </w:r>
    </w:p>
    <w:p w:rsidR="00000000" w:rsidDel="00000000" w:rsidP="00000000" w:rsidRDefault="00000000" w:rsidRPr="00000000" w14:paraId="00000002">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Autora:</w:t>
      </w:r>
      <w:r w:rsidDel="00000000" w:rsidR="00000000" w:rsidRPr="00000000">
        <w:rPr>
          <w:rFonts w:ascii="Arial" w:cs="Arial" w:eastAsia="Arial" w:hAnsi="Arial"/>
          <w:sz w:val="24"/>
          <w:szCs w:val="24"/>
          <w:rtl w:val="0"/>
        </w:rPr>
        <w:t xml:space="preserve"> Rayssa Paixão França. UFRRJ|PERERE. rayssapfranca95@gmail.com.br</w:t>
      </w:r>
      <w:r w:rsidDel="00000000" w:rsidR="00000000" w:rsidRPr="00000000">
        <w:rPr>
          <w:rtl w:val="0"/>
        </w:rPr>
      </w:r>
    </w:p>
    <w:p w:rsidR="00000000" w:rsidDel="00000000" w:rsidP="00000000" w:rsidRDefault="00000000" w:rsidRPr="00000000" w14:paraId="00000003">
      <w:pPr>
        <w:spacing w:after="240" w:before="240" w:line="36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Resumo</w:t>
      </w:r>
    </w:p>
    <w:p w:rsidR="00000000" w:rsidDel="00000000" w:rsidP="00000000" w:rsidRDefault="00000000" w:rsidRPr="00000000" w14:paraId="00000004">
      <w:pPr>
        <w:spacing w:after="240" w:before="24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Este trabalho pretende apresentar um mapeamento sobre a formação dos professores de geografia das universidades públicas do Rio de Janeiro. O objetivo é analisar a preparação das licenciaturas para o atendimento do Artigo 26-A da Lei de Diretrizes e Bases da Educação Nacional, que foi alterada pela Lei nº 10.639/2003, tornando obrigatório o ensino de História e Cultura Afro-brasileira e africana em todas as escolas públicas e privadas do país. Foram analisados os Projetos Político-pedagógicos, Planos de Curso e/ou Fluxogramas das faculdades de Geografia de 11 instituições, observando não só a preocupação quanto ao atendimento às questões étnico-raciais, mas também o oferecimento de disciplinas – obrigatórias, optativas ou eletivas – direcionadas a formação para a educação das relações étnico-raciais na área. Compreendemos o currículo de Geografia como tem poder de promover quebra de estereótipos que permeiam a vida social cotidiana e as representações de poder, atingindo a base da organização socioeconômica do país: o racismo estrutural (Almeida, 2015, p.32)., que reforça a crença em uma formação para a diversidade. Os dados iniciais da pesquisa nos indicam que ainda há muito trabalho a ser desenvolvido para que o currículo forme profissionais de Geografia aptos a aplicar as Leis nº 10.639/2003 e 11.645/2008, pois as disciplinas voltadas a essa finalidade </w:t>
      </w:r>
      <w:r w:rsidDel="00000000" w:rsidR="00000000" w:rsidRPr="00000000">
        <w:rPr>
          <w:rFonts w:ascii="Arial" w:cs="Arial" w:eastAsia="Arial" w:hAnsi="Arial"/>
          <w:sz w:val="24"/>
          <w:szCs w:val="24"/>
          <w:rtl w:val="0"/>
        </w:rPr>
        <w:t xml:space="preserve">são absoluta</w:t>
      </w:r>
      <w:r w:rsidDel="00000000" w:rsidR="00000000" w:rsidRPr="00000000">
        <w:rPr>
          <w:rFonts w:ascii="Arial" w:cs="Arial" w:eastAsia="Arial" w:hAnsi="Arial"/>
          <w:sz w:val="24"/>
          <w:szCs w:val="24"/>
          <w:rtl w:val="0"/>
        </w:rPr>
        <w:t xml:space="preserve"> minoria.</w:t>
      </w:r>
    </w:p>
    <w:p w:rsidR="00000000" w:rsidDel="00000000" w:rsidP="00000000" w:rsidRDefault="00000000" w:rsidRPr="00000000" w14:paraId="00000005">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b w:val="1"/>
          <w:sz w:val="24"/>
          <w:szCs w:val="24"/>
          <w:rtl w:val="0"/>
        </w:rPr>
        <w:t xml:space="preserve">Palavras-chave:</w:t>
      </w:r>
      <w:r w:rsidDel="00000000" w:rsidR="00000000" w:rsidRPr="00000000">
        <w:rPr>
          <w:rFonts w:ascii="Arial" w:cs="Arial" w:eastAsia="Arial" w:hAnsi="Arial"/>
          <w:sz w:val="24"/>
          <w:szCs w:val="24"/>
          <w:rtl w:val="0"/>
        </w:rPr>
        <w:t xml:space="preserve"> Geografia; Formação do Docente; Lei 106369/03.</w:t>
      </w:r>
    </w:p>
    <w:p w:rsidR="00000000" w:rsidDel="00000000" w:rsidP="00000000" w:rsidRDefault="00000000" w:rsidRPr="00000000" w14:paraId="00000006">
      <w:pPr>
        <w:spacing w:after="240" w:before="240" w:line="240"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Abstract</w:t>
      </w:r>
      <w:r w:rsidDel="00000000" w:rsidR="00000000" w:rsidRPr="00000000">
        <w:rPr>
          <w:rtl w:val="0"/>
        </w:rPr>
      </w:r>
    </w:p>
    <w:p w:rsidR="00000000" w:rsidDel="00000000" w:rsidP="00000000" w:rsidRDefault="00000000" w:rsidRPr="00000000" w14:paraId="00000007">
      <w:pPr>
        <w:spacing w:after="240" w:before="24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This work aims to present a mapping of the training of geography teachers at public universities in Rio de Janeiro. The objective is to analyze how undergraduate teaching programs are preparing to comply with Article 26-A of the Law of National Education Guidelines and Framework Law (LDB), which was amended by Law No. 10639/2003. This amendment made the teaching of Afro-brazilian and African History and Culture mandatory in all public and private schools across the county. To this end, the Political-Pedagogical Projects, Course Plans, and/or Flowcharts of the Geography departments of 11 institutions were examined, with attention not only to the inclusion of ethnic-racial issues, but also on the offering of courses–whether compulsory, optional, or elective–dedicated to the education of ethnic-racial relations in the field. We understand the Geography curriculum as having the potential to deconstruct stereotypes that permeate everyday social life and power representations, thereby addressing the foundations of Brazil’s </w:t>
      </w:r>
      <w:r w:rsidDel="00000000" w:rsidR="00000000" w:rsidRPr="00000000">
        <w:rPr>
          <w:rFonts w:ascii="Arial" w:cs="Arial" w:eastAsia="Arial" w:hAnsi="Arial"/>
          <w:sz w:val="24"/>
          <w:szCs w:val="24"/>
          <w:rtl w:val="0"/>
        </w:rPr>
        <w:t xml:space="preserve">socioeconomic</w:t>
      </w:r>
      <w:r w:rsidDel="00000000" w:rsidR="00000000" w:rsidRPr="00000000">
        <w:rPr>
          <w:rFonts w:ascii="Arial" w:cs="Arial" w:eastAsia="Arial" w:hAnsi="Arial"/>
          <w:sz w:val="24"/>
          <w:szCs w:val="24"/>
          <w:rtl w:val="0"/>
        </w:rPr>
        <w:t xml:space="preserve"> organization: structural racism (Almeida, 2015, p.32). This reinforces the belief in education aimed at promoting diversity. Preliminary findings of the research indicate that there is still considerable work to be done for curricula to effectively prepare Geography professionals to implement Laws No. 10.639/2003 and 11.645/2008, as courses specifically focused on this objective remain a distinct minority. </w:t>
      </w:r>
    </w:p>
    <w:p w:rsidR="00000000" w:rsidDel="00000000" w:rsidP="00000000" w:rsidRDefault="00000000" w:rsidRPr="00000000" w14:paraId="00000008">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Keywords:</w:t>
      </w:r>
      <w:r w:rsidDel="00000000" w:rsidR="00000000" w:rsidRPr="00000000">
        <w:rPr>
          <w:rFonts w:ascii="Arial" w:cs="Arial" w:eastAsia="Arial" w:hAnsi="Arial"/>
          <w:sz w:val="24"/>
          <w:szCs w:val="24"/>
          <w:rtl w:val="0"/>
        </w:rPr>
        <w:t xml:space="preserve"> Geography; Teacher Education; Lei 10639/03.</w:t>
      </w:r>
    </w:p>
    <w:p w:rsidR="00000000" w:rsidDel="00000000" w:rsidP="00000000" w:rsidRDefault="00000000" w:rsidRPr="00000000" w14:paraId="00000009">
      <w:pPr>
        <w:spacing w:after="240" w:before="240" w:lineRule="auto"/>
        <w:jc w:val="both"/>
        <w:rPr>
          <w:rFonts w:ascii="Arial" w:cs="Arial" w:eastAsia="Arial" w:hAnsi="Arial"/>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A">
      <w:pPr>
        <w:pStyle w:val="Heading2"/>
        <w:keepNext w:val="0"/>
        <w:keepLines w:val="0"/>
        <w:jc w:val="both"/>
        <w:rPr>
          <w:rFonts w:ascii="Arial" w:cs="Arial" w:eastAsia="Arial" w:hAnsi="Arial"/>
          <w:sz w:val="24"/>
          <w:szCs w:val="24"/>
        </w:rPr>
      </w:pPr>
      <w:bookmarkStart w:colFirst="0" w:colLast="0" w:name="_77e8ia5d5vvu" w:id="0"/>
      <w:bookmarkEnd w:id="0"/>
      <w:r w:rsidDel="00000000" w:rsidR="00000000" w:rsidRPr="00000000">
        <w:rPr>
          <w:rFonts w:ascii="Arial" w:cs="Arial" w:eastAsia="Arial" w:hAnsi="Arial"/>
          <w:sz w:val="24"/>
          <w:szCs w:val="24"/>
          <w:rtl w:val="0"/>
        </w:rPr>
        <w:t xml:space="preserve">1. Introdução</w:t>
      </w:r>
    </w:p>
    <w:p w:rsidR="00000000" w:rsidDel="00000000" w:rsidP="00000000" w:rsidRDefault="00000000" w:rsidRPr="00000000" w14:paraId="0000000B">
      <w:pPr>
        <w:spacing w:after="360" w:line="360" w:lineRule="auto"/>
        <w:ind w:firstLine="566.9291338582677"/>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Pensar em Geografia é como desvelar o mundo, revelando não apenas lugares, mas também as próprias existências e as complexas profundidades do espaço onde as pessoas vivem. Geografia não é uma ciência estática, ela é um estudo das liberdades humanas, um mergulho no conhecimento das sociedades e como elas se relacionam com o mundo que as molda. Este artigo apresenta dados parciais de pesquisa desenvolvida na Universidade Federal Rural do Rio de Janeiro (UFRRJ)</w:t>
      </w:r>
      <w:r w:rsidDel="00000000" w:rsidR="00000000" w:rsidRPr="00000000">
        <w:rPr>
          <w:rFonts w:ascii="Arial" w:cs="Arial" w:eastAsia="Arial" w:hAnsi="Arial"/>
          <w:sz w:val="24"/>
          <w:szCs w:val="24"/>
          <w:vertAlign w:val="superscript"/>
        </w:rPr>
        <w:footnoteReference w:customMarkFollows="0" w:id="0"/>
      </w:r>
      <w:r w:rsidDel="00000000" w:rsidR="00000000" w:rsidRPr="00000000">
        <w:rPr>
          <w:rFonts w:ascii="Arial" w:cs="Arial" w:eastAsia="Arial" w:hAnsi="Arial"/>
          <w:sz w:val="24"/>
          <w:szCs w:val="24"/>
          <w:rtl w:val="0"/>
        </w:rPr>
        <w:t xml:space="preserve">, que tem como objetivo central analisar o currículo das licenciaturas em relação à qualificação docente para aplicação do que preconiza o Artigo 26-A da Lei de Diretrizes Nacionais da Educação Nacional (LDB). A norma obriga o ensino de história e cultura afro-brasileira, africana e indígena em todos os currículos da educação escolar. </w:t>
      </w:r>
    </w:p>
    <w:p w:rsidR="00000000" w:rsidDel="00000000" w:rsidP="00000000" w:rsidRDefault="00000000" w:rsidRPr="00000000" w14:paraId="0000000C">
      <w:pPr>
        <w:spacing w:after="36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Diante disso, este trabalho busca analisar como os cursos de licenciatura em Geografia das universidades públicas do Rio de Janeiro estão preparando seus futuros professores para atender à Lei nº 10639/03, que torna obrigatório o ensino de História e Cultura Afro-brasileira e africana na educação básica. A pesquisa parte da análise de documentos curriculares, como Projetos Políticos-Pedagógicos (PPPs), Planos de Curso e Fluxogramas, buscando identificar a presença de disciplinas que tratem das relações étnico-raciais no ensino de Geografia. </w:t>
      </w:r>
    </w:p>
    <w:p w:rsidR="00000000" w:rsidDel="00000000" w:rsidP="00000000" w:rsidRDefault="00000000" w:rsidRPr="00000000" w14:paraId="0000000D">
      <w:pPr>
        <w:spacing w:after="36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Estudos anteriores apontam que a formação dos professores de Geografia ainda carece de uma abordagem mais crítica e anticolonial, pois ainda se debruçam sobre uma herança colonial (Santos, 2011, p.31) nas observações do espaço e das relações sociais. Historicamente o ensino de Geografia esteve atrelado ao auxílio de uma construção da identidade nacional, e por isso, por muito tempo, se reduziu a uma disciplina voltada para a memorização de mapas e divisões territoriais. Contudo, a Geografia escolar tem potencial para fortalecer as bases de um ensino como prática da liberdade (Hooks, 2013) desvendando as organizações sociais, a fim de que o aluno possa enxergar as pluralidades da formação do espaço, criando uma sociedade mais democrática.</w:t>
      </w:r>
    </w:p>
    <w:p w:rsidR="00000000" w:rsidDel="00000000" w:rsidP="00000000" w:rsidRDefault="00000000" w:rsidRPr="00000000" w14:paraId="0000000E">
      <w:pPr>
        <w:spacing w:after="36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Nesta pesquisa, serão apresentados dados preliminares da análise curricular de universidades públicas do Rio de Janeiro, buscando deduzir se os cursos de licenciatura estão incorporando as diretrizes do artigo 26-A da LDB e quais os desafios enfrentados para implementação de um currículo mais inclusivo e comprometido com a Educação das Relações Etnico-Raciais (ERER).</w:t>
      </w:r>
    </w:p>
    <w:p w:rsidR="00000000" w:rsidDel="00000000" w:rsidP="00000000" w:rsidRDefault="00000000" w:rsidRPr="00000000" w14:paraId="0000000F">
      <w:pPr>
        <w:spacing w:after="36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10">
      <w:pPr>
        <w:pStyle w:val="Heading2"/>
        <w:keepNext w:val="0"/>
        <w:keepLines w:val="0"/>
        <w:jc w:val="both"/>
        <w:rPr>
          <w:rFonts w:ascii="Arial" w:cs="Arial" w:eastAsia="Arial" w:hAnsi="Arial"/>
          <w:sz w:val="24"/>
          <w:szCs w:val="24"/>
        </w:rPr>
      </w:pPr>
      <w:bookmarkStart w:colFirst="0" w:colLast="0" w:name="_j9395ngssnx7" w:id="1"/>
      <w:bookmarkEnd w:id="1"/>
      <w:r w:rsidDel="00000000" w:rsidR="00000000" w:rsidRPr="00000000">
        <w:rPr>
          <w:rFonts w:ascii="Arial" w:cs="Arial" w:eastAsia="Arial" w:hAnsi="Arial"/>
          <w:sz w:val="24"/>
          <w:szCs w:val="24"/>
          <w:rtl w:val="0"/>
        </w:rPr>
        <w:t xml:space="preserve">2. Metodologia</w:t>
      </w:r>
    </w:p>
    <w:p w:rsidR="00000000" w:rsidDel="00000000" w:rsidP="00000000" w:rsidRDefault="00000000" w:rsidRPr="00000000" w14:paraId="00000011">
      <w:pPr>
        <w:spacing w:after="240" w:before="24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Com o fim de compreender de que maneira os cursos de licenciatura em Geografia nas universidades públicas do Rio de Janeiro estão debatendo a Lei 10.639/03 – que trata da obrigatoriedade do ensino de História e Cultura Afro-brasileira e africana na escola –, esta pesquisa adotou uma abordagem qualitativa, com foco na análise documental. A legislação, articulada como o artigo 26-A da LDB e as diretrizes curriculares nacionais (CNE/CP nº 2/2015 e CNE/CP 03/2004), exige que as instituições de ensino superior desenvolvam uma pedagogia antirracista, integrando conteúdos étnico-raciais na formação do docente.</w:t>
      </w:r>
    </w:p>
    <w:p w:rsidR="00000000" w:rsidDel="00000000" w:rsidP="00000000" w:rsidRDefault="00000000" w:rsidRPr="00000000" w14:paraId="00000012">
      <w:pPr>
        <w:spacing w:after="240" w:before="24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Inicialmente, foi feito um mapeamento amplo das disciplinas no Sudeste, mas, ao longo da investigação, optou-se por um recorte mais aprofundado no Rio de Janeiro, dada a necessidade de um maior aprofundamento na análise das ementas. A metodologia baseou-se em pesquisa documental, com levantamento em sites institucionais e nos Projetos Pedagógicos de Curso (PPCs), devido à persistência da ausência de informações transparentes nas matrizes curriculares.</w:t>
      </w:r>
    </w:p>
    <w:p w:rsidR="00000000" w:rsidDel="00000000" w:rsidP="00000000" w:rsidRDefault="00000000" w:rsidRPr="00000000" w14:paraId="00000013">
      <w:pPr>
        <w:spacing w:after="240" w:before="24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Os resultados preliminares apontaram para uma distribuição desigual na oferta de disciplinas. Identificamos 31 disciplinas válidas em 32 IES analisadas na região Sudeste, embora essas sejam distribuídas em poucas unidades, ao mesmo tempo que outras não apresentaram nenhuma disciplina referente ao tema. Além disso, a falta de ementas públicas em parte dos cursos atrapalha a avaliação mais aprofundada e se especificamente há um comprometimento com a formação antirracista, expondo questões sobre a efetividade do funcionamento das diretrizes legais.</w:t>
      </w:r>
    </w:p>
    <w:p w:rsidR="00000000" w:rsidDel="00000000" w:rsidP="00000000" w:rsidRDefault="00000000" w:rsidRPr="00000000" w14:paraId="00000014">
      <w:pPr>
        <w:spacing w:after="240" w:before="24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Dessa forma, concluímos que, mesmo no Rio de Janeiro – estado com herança acadêmica e diversidade cultural –, existem desafios significativos na integração da educação étnico-racial no currículo dos cursos de Geografia. </w:t>
      </w:r>
    </w:p>
    <w:p w:rsidR="00000000" w:rsidDel="00000000" w:rsidP="00000000" w:rsidRDefault="00000000" w:rsidRPr="00000000" w14:paraId="00000015">
      <w:pPr>
        <w:pStyle w:val="Heading2"/>
        <w:keepNext w:val="0"/>
        <w:keepLines w:val="0"/>
        <w:jc w:val="both"/>
        <w:rPr>
          <w:rFonts w:ascii="Arial" w:cs="Arial" w:eastAsia="Arial" w:hAnsi="Arial"/>
          <w:sz w:val="24"/>
          <w:szCs w:val="24"/>
        </w:rPr>
      </w:pPr>
      <w:bookmarkStart w:colFirst="0" w:colLast="0" w:name="_ojn9x1w8uxhe" w:id="2"/>
      <w:bookmarkEnd w:id="2"/>
      <w:r w:rsidDel="00000000" w:rsidR="00000000" w:rsidRPr="00000000">
        <w:rPr>
          <w:rFonts w:ascii="Arial" w:cs="Arial" w:eastAsia="Arial" w:hAnsi="Arial"/>
          <w:sz w:val="24"/>
          <w:szCs w:val="24"/>
          <w:rtl w:val="0"/>
        </w:rPr>
        <w:t xml:space="preserve">3. Resultados e Discussão</w:t>
      </w:r>
    </w:p>
    <w:p w:rsidR="00000000" w:rsidDel="00000000" w:rsidP="00000000" w:rsidRDefault="00000000" w:rsidRPr="00000000" w14:paraId="00000016">
      <w:pPr>
        <w:spacing w:after="240" w:before="240" w:line="360" w:lineRule="auto"/>
        <w:jc w:val="both"/>
        <w:rPr/>
      </w:pPr>
      <w:r w:rsidDel="00000000" w:rsidR="00000000" w:rsidRPr="00000000">
        <w:rPr>
          <w:rFonts w:ascii="Arial" w:cs="Arial" w:eastAsia="Arial" w:hAnsi="Arial"/>
          <w:sz w:val="24"/>
          <w:szCs w:val="24"/>
          <w:rtl w:val="0"/>
        </w:rPr>
        <w:t xml:space="preserve">O exame dos currículos das licenciaturas em Geografia nas universidades públicas do Rio de Janeiro evidencia desafios significativos no cumprimento do que estabelece a Lei 10639/03.  Levando em conta o papel central do Rio de Janeiro na formação histórica, cultural e política da população afrodescendente e indígena do Brasil, espera-se que os cursos de formação docente considerem essa realidade. Contudo, os dados mostram que existe uma baixa presença de disciplinas voltadas às </w:t>
      </w:r>
      <w:r w:rsidDel="00000000" w:rsidR="00000000" w:rsidRPr="00000000">
        <w:rPr>
          <w:rFonts w:ascii="Arial" w:cs="Arial" w:eastAsia="Arial" w:hAnsi="Arial"/>
          <w:sz w:val="24"/>
          <w:szCs w:val="24"/>
          <w:rtl w:val="0"/>
        </w:rPr>
        <w:t xml:space="preserve">ERES</w:t>
      </w:r>
      <w:r w:rsidDel="00000000" w:rsidR="00000000" w:rsidRPr="00000000">
        <w:rPr>
          <w:rFonts w:ascii="Arial" w:cs="Arial" w:eastAsia="Arial" w:hAnsi="Arial"/>
          <w:sz w:val="24"/>
          <w:szCs w:val="24"/>
          <w:rtl w:val="0"/>
        </w:rPr>
        <w:t xml:space="preserve">, nas quais, por vezes é ofertada como optativas ou ausentes dos Projetos Pedagógicos dos Cursos (PPCs). A tabela, a seguir, mostra os cursos analisados, onde é possível identificar se há disciplinas que atendam o Art.26-A da LDB.</w:t>
      </w:r>
      <w:r w:rsidDel="00000000" w:rsidR="00000000" w:rsidRPr="00000000">
        <w:rPr>
          <w:rtl w:val="0"/>
        </w:rPr>
      </w:r>
    </w:p>
    <w:p w:rsidR="00000000" w:rsidDel="00000000" w:rsidP="00000000" w:rsidRDefault="00000000" w:rsidRPr="00000000" w14:paraId="00000017">
      <w:pPr>
        <w:ind w:right="287.5984251968515"/>
        <w:rPr/>
      </w:pPr>
      <w:r w:rsidDel="00000000" w:rsidR="00000000" w:rsidRPr="00000000">
        <w:rPr>
          <w:rtl w:val="0"/>
        </w:rPr>
      </w:r>
    </w:p>
    <w:p w:rsidR="00000000" w:rsidDel="00000000" w:rsidP="00000000" w:rsidRDefault="00000000" w:rsidRPr="00000000" w14:paraId="00000018">
      <w:pPr>
        <w:ind w:right="287.5984251968515"/>
        <w:rPr/>
      </w:pPr>
      <w:r w:rsidDel="00000000" w:rsidR="00000000" w:rsidRPr="00000000">
        <w:rPr>
          <w:rtl w:val="0"/>
        </w:rPr>
      </w:r>
    </w:p>
    <w:p w:rsidR="00000000" w:rsidDel="00000000" w:rsidP="00000000" w:rsidRDefault="00000000" w:rsidRPr="00000000" w14:paraId="00000019">
      <w:pPr>
        <w:ind w:right="287.5984251968515"/>
        <w:rPr/>
      </w:pPr>
      <w:r w:rsidDel="00000000" w:rsidR="00000000" w:rsidRPr="00000000">
        <w:rPr>
          <w:rtl w:val="0"/>
        </w:rPr>
      </w:r>
    </w:p>
    <w:p w:rsidR="00000000" w:rsidDel="00000000" w:rsidP="00000000" w:rsidRDefault="00000000" w:rsidRPr="00000000" w14:paraId="0000001A">
      <w:pPr>
        <w:ind w:right="287.5984251968515"/>
        <w:rPr/>
      </w:pPr>
      <w:r w:rsidDel="00000000" w:rsidR="00000000" w:rsidRPr="00000000">
        <w:rPr>
          <w:rtl w:val="0"/>
        </w:rPr>
      </w:r>
    </w:p>
    <w:p w:rsidR="00000000" w:rsidDel="00000000" w:rsidP="00000000" w:rsidRDefault="00000000" w:rsidRPr="00000000" w14:paraId="0000001B">
      <w:pPr>
        <w:ind w:right="287.5984251968515"/>
        <w:rPr/>
      </w:pPr>
      <w:r w:rsidDel="00000000" w:rsidR="00000000" w:rsidRPr="00000000">
        <w:rPr>
          <w:rtl w:val="0"/>
        </w:rPr>
      </w:r>
    </w:p>
    <w:tbl>
      <w:tblPr>
        <w:tblStyle w:val="Table1"/>
        <w:tblW w:w="90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85"/>
        <w:gridCol w:w="2145"/>
        <w:gridCol w:w="1905"/>
        <w:gridCol w:w="1335"/>
        <w:gridCol w:w="1545"/>
        <w:gridCol w:w="1245"/>
        <w:tblGridChange w:id="0">
          <w:tblGrid>
            <w:gridCol w:w="885"/>
            <w:gridCol w:w="2145"/>
            <w:gridCol w:w="1905"/>
            <w:gridCol w:w="1335"/>
            <w:gridCol w:w="1545"/>
            <w:gridCol w:w="1245"/>
          </w:tblGrid>
        </w:tblGridChange>
      </w:tblGrid>
      <w:tr>
        <w:trPr>
          <w:cantSplit w:val="0"/>
          <w:tblHeader w:val="0"/>
        </w:trPr>
        <w:tc>
          <w:tcPr>
            <w:tcBorders>
              <w:top w:color="000000" w:space="0" w:sz="4" w:val="single"/>
              <w:left w:color="000000" w:space="0" w:sz="4" w:val="single"/>
              <w:bottom w:color="000000" w:space="0" w:sz="4" w:val="single"/>
              <w:right w:color="000000" w:space="0" w:sz="6" w:val="single"/>
            </w:tcBorders>
            <w:shd w:fill="f2ceef" w:val="clear"/>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1C">
            <w:pPr>
              <w:widowControl w:val="0"/>
              <w:spacing w:after="0" w:line="240" w:lineRule="auto"/>
              <w:jc w:val="center"/>
              <w:rPr/>
            </w:pPr>
            <w:r w:rsidDel="00000000" w:rsidR="00000000" w:rsidRPr="00000000">
              <w:rPr>
                <w:rFonts w:ascii="Arial" w:cs="Arial" w:eastAsia="Arial" w:hAnsi="Arial"/>
                <w:b w:val="1"/>
                <w:rtl w:val="0"/>
              </w:rPr>
              <w:t xml:space="preserve">SIG</w:t>
            </w:r>
            <w:r w:rsidDel="00000000" w:rsidR="00000000" w:rsidRPr="00000000">
              <w:rPr>
                <w:rtl w:val="0"/>
              </w:rPr>
            </w:r>
          </w:p>
        </w:tc>
        <w:tc>
          <w:tcPr>
            <w:tcBorders>
              <w:top w:color="000000" w:space="0" w:sz="6" w:val="single"/>
              <w:left w:color="000000" w:space="0" w:sz="6" w:val="single"/>
              <w:bottom w:color="cccccc" w:space="0" w:sz="6" w:val="single"/>
              <w:right w:color="000000" w:space="0" w:sz="6" w:val="single"/>
            </w:tcBorders>
            <w:shd w:fill="f2ceef" w:val="clear"/>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1D">
            <w:pPr>
              <w:widowControl w:val="0"/>
              <w:spacing w:after="0" w:line="240" w:lineRule="auto"/>
              <w:jc w:val="center"/>
              <w:rPr/>
            </w:pPr>
            <w:r w:rsidDel="00000000" w:rsidR="00000000" w:rsidRPr="00000000">
              <w:rPr>
                <w:b w:val="1"/>
                <w:sz w:val="24"/>
                <w:szCs w:val="24"/>
                <w:rtl w:val="0"/>
              </w:rPr>
              <w:t xml:space="preserve">CAMPUS DO CURSO</w:t>
            </w:r>
            <w:r w:rsidDel="00000000" w:rsidR="00000000" w:rsidRPr="00000000">
              <w:rPr>
                <w:rtl w:val="0"/>
              </w:rPr>
            </w:r>
          </w:p>
        </w:tc>
        <w:tc>
          <w:tcPr>
            <w:tcBorders>
              <w:top w:color="000000" w:space="0" w:sz="5" w:val="single"/>
              <w:left w:color="000000" w:space="0" w:sz="6" w:val="single"/>
              <w:bottom w:color="cccccc" w:space="0" w:sz="5" w:val="single"/>
              <w:right w:color="000000" w:space="0" w:sz="4" w:val="single"/>
            </w:tcBorders>
            <w:shd w:fill="f2ceef" w:val="clear"/>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1E">
            <w:pPr>
              <w:widowControl w:val="0"/>
              <w:spacing w:after="0" w:line="240" w:lineRule="auto"/>
              <w:jc w:val="center"/>
              <w:rPr/>
            </w:pPr>
            <w:r w:rsidDel="00000000" w:rsidR="00000000" w:rsidRPr="00000000">
              <w:rPr>
                <w:b w:val="1"/>
                <w:sz w:val="24"/>
                <w:szCs w:val="24"/>
                <w:rtl w:val="0"/>
              </w:rPr>
              <w:t xml:space="preserve">TURNOS OFERECIDOS</w:t>
            </w:r>
            <w:r w:rsidDel="00000000" w:rsidR="00000000" w:rsidRPr="00000000">
              <w:rPr>
                <w:rtl w:val="0"/>
              </w:rPr>
            </w:r>
          </w:p>
        </w:tc>
        <w:tc>
          <w:tcPr>
            <w:tcBorders>
              <w:top w:color="000000" w:space="0" w:sz="4" w:val="single"/>
              <w:left w:color="000000" w:space="0" w:sz="4" w:val="single"/>
              <w:bottom w:color="cccccc" w:space="0" w:sz="4" w:val="single"/>
              <w:right w:color="000000" w:space="0" w:sz="4" w:val="single"/>
            </w:tcBorders>
            <w:shd w:fill="f2ceef" w:val="clear"/>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1F">
            <w:pPr>
              <w:widowControl w:val="0"/>
              <w:spacing w:after="0" w:line="240" w:lineRule="auto"/>
              <w:jc w:val="center"/>
              <w:rPr/>
            </w:pPr>
            <w:r w:rsidDel="00000000" w:rsidR="00000000" w:rsidRPr="00000000">
              <w:rPr>
                <w:rFonts w:ascii="Arial" w:cs="Arial" w:eastAsia="Arial" w:hAnsi="Arial"/>
                <w:b w:val="1"/>
                <w:sz w:val="24"/>
                <w:szCs w:val="24"/>
                <w:rtl w:val="0"/>
              </w:rPr>
              <w:t xml:space="preserve">QUANTAS ATENDEM ART.26-A</w:t>
            </w:r>
            <w:r w:rsidDel="00000000" w:rsidR="00000000" w:rsidRPr="00000000">
              <w:rPr>
                <w:rtl w:val="0"/>
              </w:rPr>
            </w:r>
          </w:p>
        </w:tc>
        <w:tc>
          <w:tcPr>
            <w:tcBorders>
              <w:top w:color="000000" w:space="0" w:sz="5" w:val="single"/>
              <w:left w:color="000000" w:space="0" w:sz="4" w:val="single"/>
              <w:bottom w:color="cccccc" w:space="0" w:sz="5" w:val="single"/>
              <w:right w:color="000000" w:space="0" w:sz="5" w:val="single"/>
            </w:tcBorders>
            <w:shd w:fill="f2ceef" w:val="clear"/>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20">
            <w:pPr>
              <w:widowControl w:val="0"/>
              <w:spacing w:after="0" w:line="240" w:lineRule="auto"/>
              <w:jc w:val="center"/>
              <w:rPr/>
            </w:pPr>
            <w:r w:rsidDel="00000000" w:rsidR="00000000" w:rsidRPr="00000000">
              <w:rPr>
                <w:b w:val="1"/>
                <w:sz w:val="24"/>
                <w:szCs w:val="24"/>
                <w:rtl w:val="0"/>
              </w:rPr>
              <w:t xml:space="preserve">NOME DA DISCIPLINA</w:t>
            </w:r>
            <w:r w:rsidDel="00000000" w:rsidR="00000000" w:rsidRPr="00000000">
              <w:rPr>
                <w:rtl w:val="0"/>
              </w:rPr>
            </w:r>
          </w:p>
        </w:tc>
        <w:tc>
          <w:tcPr>
            <w:tcBorders>
              <w:top w:color="000000" w:space="0" w:sz="5" w:val="single"/>
              <w:left w:color="000000" w:space="0" w:sz="5" w:val="single"/>
              <w:bottom w:color="cccccc" w:space="0" w:sz="5" w:val="single"/>
              <w:right w:color="000000" w:space="0" w:sz="5" w:val="single"/>
            </w:tcBorders>
            <w:shd w:fill="f2ceef" w:val="clear"/>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21">
            <w:pPr>
              <w:widowControl w:val="0"/>
              <w:spacing w:after="0" w:line="240" w:lineRule="auto"/>
              <w:jc w:val="center"/>
              <w:rPr>
                <w:b w:val="1"/>
                <w:sz w:val="24"/>
                <w:szCs w:val="24"/>
              </w:rPr>
            </w:pPr>
            <w:r w:rsidDel="00000000" w:rsidR="00000000" w:rsidRPr="00000000">
              <w:rPr>
                <w:b w:val="1"/>
                <w:sz w:val="24"/>
                <w:szCs w:val="24"/>
                <w:rtl w:val="0"/>
              </w:rPr>
              <w:t xml:space="preserve">OBRIGATÓRIA, OPTATIVA OU ELETIVA</w:t>
            </w:r>
          </w:p>
        </w:tc>
      </w:tr>
      <w:tr>
        <w:trPr>
          <w:cantSplit w:val="0"/>
          <w:tblHeader w:val="0"/>
        </w:trPr>
        <w:tc>
          <w:tcPr>
            <w:tcBorders>
              <w:top w:color="000000" w:space="0" w:sz="4"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22">
            <w:pPr>
              <w:widowControl w:val="0"/>
              <w:spacing w:after="0" w:line="24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UFF</w:t>
            </w:r>
          </w:p>
        </w:tc>
        <w:tc>
          <w:tcPr>
            <w:tcBorders>
              <w:top w:color="cccccc" w:space="0" w:sz="6"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23">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Angra dos Reis</w:t>
            </w:r>
          </w:p>
        </w:tc>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24">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Vespertino</w:t>
            </w:r>
          </w:p>
        </w:tc>
        <w:tc>
          <w:tcPr>
            <w:tcBorders>
              <w:top w:color="cccccc" w:space="0" w:sz="4"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25">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2</w:t>
            </w:r>
          </w:p>
        </w:tc>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26">
            <w:pPr>
              <w:widowControl w:val="0"/>
              <w:spacing w:after="0" w:line="240" w:lineRule="auto"/>
              <w:ind w:left="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Relações étnico-raciais e educação;</w:t>
            </w:r>
          </w:p>
          <w:p w:rsidR="00000000" w:rsidDel="00000000" w:rsidP="00000000" w:rsidRDefault="00000000" w:rsidRPr="00000000" w14:paraId="00000027">
            <w:pPr>
              <w:widowControl w:val="0"/>
              <w:spacing w:after="0" w:line="240" w:lineRule="auto"/>
              <w:ind w:left="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Educação e </w:t>
            </w:r>
            <w:r w:rsidDel="00000000" w:rsidR="00000000" w:rsidRPr="00000000">
              <w:rPr>
                <w:rFonts w:ascii="Arial" w:cs="Arial" w:eastAsia="Arial" w:hAnsi="Arial"/>
                <w:sz w:val="24"/>
                <w:szCs w:val="24"/>
                <w:rtl w:val="0"/>
              </w:rPr>
              <w:t xml:space="preserve">Movimentoss</w:t>
            </w:r>
            <w:r w:rsidDel="00000000" w:rsidR="00000000" w:rsidRPr="00000000">
              <w:rPr>
                <w:rFonts w:ascii="Arial" w:cs="Arial" w:eastAsia="Arial" w:hAnsi="Arial"/>
                <w:sz w:val="24"/>
                <w:szCs w:val="24"/>
                <w:rtl w:val="0"/>
              </w:rPr>
              <w:t xml:space="preserve"> Sociais</w:t>
            </w:r>
          </w:p>
        </w:tc>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28">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Optativa</w:t>
            </w:r>
          </w:p>
        </w:tc>
      </w:tr>
      <w:tr>
        <w:trPr>
          <w:cantSplit w:val="0"/>
          <w:tblHeader w:val="0"/>
        </w:trPr>
        <w:tc>
          <w:tcPr>
            <w:tcBorders>
              <w:top w:color="000000"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29">
            <w:pPr>
              <w:widowControl w:val="0"/>
              <w:spacing w:after="0" w:line="24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UFF</w:t>
            </w:r>
          </w:p>
        </w:tc>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2A">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Campos dos Goytacazes</w:t>
            </w:r>
          </w:p>
        </w:tc>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2B">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Noturno</w:t>
            </w:r>
          </w:p>
          <w:p w:rsidR="00000000" w:rsidDel="00000000" w:rsidP="00000000" w:rsidRDefault="00000000" w:rsidRPr="00000000" w14:paraId="0000002C">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Vespertino</w:t>
            </w:r>
          </w:p>
        </w:tc>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2D">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1</w:t>
            </w:r>
          </w:p>
        </w:tc>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2E">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Etnologia e </w:t>
            </w:r>
            <w:r w:rsidDel="00000000" w:rsidR="00000000" w:rsidRPr="00000000">
              <w:rPr>
                <w:rFonts w:ascii="Arial" w:cs="Arial" w:eastAsia="Arial" w:hAnsi="Arial"/>
                <w:sz w:val="24"/>
                <w:szCs w:val="24"/>
                <w:rtl w:val="0"/>
              </w:rPr>
              <w:t xml:space="preserve">etnociencia</w:t>
            </w:r>
            <w:r w:rsidDel="00000000" w:rsidR="00000000" w:rsidRPr="00000000">
              <w:rPr>
                <w:rFonts w:ascii="Arial" w:cs="Arial" w:eastAsia="Arial" w:hAnsi="Arial"/>
                <w:sz w:val="24"/>
                <w:szCs w:val="24"/>
                <w:rtl w:val="0"/>
              </w:rPr>
              <w:t xml:space="preserve"> na geografia</w:t>
            </w:r>
          </w:p>
        </w:tc>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2F">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Optativa</w:t>
            </w:r>
          </w:p>
        </w:tc>
      </w:tr>
      <w:tr>
        <w:trPr>
          <w:cantSplit w:val="0"/>
          <w:tblHeader w:val="0"/>
        </w:trPr>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30">
            <w:pPr>
              <w:widowControl w:val="0"/>
              <w:spacing w:after="0" w:line="24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UFF</w:t>
            </w:r>
          </w:p>
        </w:tc>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31">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Niterói</w:t>
            </w:r>
          </w:p>
        </w:tc>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32">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Diurno/Noturno</w:t>
            </w:r>
          </w:p>
        </w:tc>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33">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5</w:t>
            </w:r>
          </w:p>
        </w:tc>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34">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Geografia e Movimentos Sociais;</w:t>
            </w:r>
          </w:p>
          <w:p w:rsidR="00000000" w:rsidDel="00000000" w:rsidP="00000000" w:rsidRDefault="00000000" w:rsidRPr="00000000" w14:paraId="00000035">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Movimentos Sociais e Educação;</w:t>
            </w:r>
          </w:p>
          <w:p w:rsidR="00000000" w:rsidDel="00000000" w:rsidP="00000000" w:rsidRDefault="00000000" w:rsidRPr="00000000" w14:paraId="00000036">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Raça, Currículo e Práxis; Pedagógica</w:t>
            </w:r>
          </w:p>
          <w:p w:rsidR="00000000" w:rsidDel="00000000" w:rsidP="00000000" w:rsidRDefault="00000000" w:rsidRPr="00000000" w14:paraId="00000037">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Relações étnico-raciais na escola;</w:t>
            </w:r>
          </w:p>
          <w:p w:rsidR="00000000" w:rsidDel="00000000" w:rsidP="00000000" w:rsidRDefault="00000000" w:rsidRPr="00000000" w14:paraId="00000038">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Preconceito, Indivíduo e Cultura</w:t>
            </w:r>
          </w:p>
        </w:tc>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39">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Optativa</w:t>
            </w:r>
          </w:p>
        </w:tc>
      </w:tr>
      <w:tr>
        <w:trPr>
          <w:cantSplit w:val="0"/>
          <w:tblHeader w:val="0"/>
        </w:trPr>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3A">
            <w:pPr>
              <w:widowControl w:val="0"/>
              <w:spacing w:after="0" w:line="24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UFRRJ</w:t>
            </w:r>
          </w:p>
        </w:tc>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3B">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Seropédica</w:t>
            </w:r>
          </w:p>
        </w:tc>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3C">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Vespertino</w:t>
            </w:r>
          </w:p>
        </w:tc>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3D">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1</w:t>
            </w:r>
          </w:p>
        </w:tc>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3E">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Educação das Relações étnicos-Raciais na escola</w:t>
            </w:r>
          </w:p>
        </w:tc>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3F">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Obrigatória</w:t>
            </w:r>
          </w:p>
        </w:tc>
      </w:tr>
      <w:tr>
        <w:trPr>
          <w:cantSplit w:val="0"/>
          <w:tblHeader w:val="0"/>
        </w:trPr>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40">
            <w:pPr>
              <w:widowControl w:val="0"/>
              <w:spacing w:after="0" w:line="24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UFRRJ</w:t>
            </w:r>
          </w:p>
        </w:tc>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41">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Nova Iguaçu</w:t>
            </w:r>
          </w:p>
        </w:tc>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42">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Diurno</w:t>
            </w:r>
          </w:p>
        </w:tc>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43">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1</w:t>
            </w:r>
          </w:p>
        </w:tc>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44">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Educação e Relações Raciais no Brasil </w:t>
            </w:r>
          </w:p>
        </w:tc>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45">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Obrigatória</w:t>
            </w:r>
          </w:p>
        </w:tc>
      </w:tr>
      <w:tr>
        <w:trPr>
          <w:cantSplit w:val="0"/>
          <w:tblHeader w:val="0"/>
        </w:trPr>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46">
            <w:pPr>
              <w:widowControl w:val="0"/>
              <w:spacing w:after="0" w:line="24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UERJ</w:t>
            </w:r>
          </w:p>
        </w:tc>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47">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Maracanã</w:t>
            </w:r>
          </w:p>
        </w:tc>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48">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Integral*</w:t>
            </w:r>
          </w:p>
        </w:tc>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49">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1</w:t>
            </w:r>
          </w:p>
        </w:tc>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4A">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Questões Étnicas e Educação</w:t>
            </w:r>
          </w:p>
        </w:tc>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4B">
            <w:pPr>
              <w:widowControl w:val="0"/>
              <w:spacing w:after="0" w:line="240" w:lineRule="auto"/>
              <w:rPr>
                <w:rFonts w:ascii="Arial" w:cs="Arial" w:eastAsia="Arial" w:hAnsi="Arial"/>
                <w:sz w:val="24"/>
                <w:szCs w:val="24"/>
              </w:rPr>
            </w:pPr>
            <w:r w:rsidDel="00000000" w:rsidR="00000000" w:rsidRPr="00000000">
              <w:rPr>
                <w:rtl w:val="0"/>
              </w:rPr>
            </w:r>
          </w:p>
        </w:tc>
      </w:tr>
      <w:tr>
        <w:trPr>
          <w:cantSplit w:val="0"/>
          <w:tblHeader w:val="0"/>
        </w:trPr>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4C">
            <w:pPr>
              <w:widowControl w:val="0"/>
              <w:spacing w:after="0" w:line="24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UERJ</w:t>
            </w:r>
          </w:p>
        </w:tc>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4D">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Cabo Frio</w:t>
            </w:r>
          </w:p>
        </w:tc>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4E">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Integral</w:t>
            </w:r>
          </w:p>
        </w:tc>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4F">
            <w:pPr>
              <w:widowControl w:val="0"/>
              <w:spacing w:after="0" w:line="240" w:lineRule="auto"/>
              <w:rPr>
                <w:rFonts w:ascii="Arial" w:cs="Arial" w:eastAsia="Arial" w:hAnsi="Arial"/>
                <w:sz w:val="24"/>
                <w:szCs w:val="24"/>
              </w:rPr>
            </w:pPr>
            <w:r w:rsidDel="00000000" w:rsidR="00000000" w:rsidRPr="00000000">
              <w:rPr>
                <w:rtl w:val="0"/>
              </w:rPr>
            </w:r>
          </w:p>
        </w:tc>
        <w:tc>
          <w:tcPr>
            <w:shd w:fill="auto" w:val="clear"/>
            <w:tcMar>
              <w:top w:w="-70.29921259842521" w:type="dxa"/>
              <w:left w:w="-70.29921259842521" w:type="dxa"/>
              <w:bottom w:w="-70.29921259842521" w:type="dxa"/>
              <w:right w:w="-70.29921259842521" w:type="dxa"/>
            </w:tcMar>
            <w:vAlign w:val="top"/>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Fonts w:ascii="Arial" w:cs="Arial" w:eastAsia="Arial" w:hAnsi="Arial"/>
                <w:sz w:val="24"/>
                <w:szCs w:val="24"/>
                <w:rtl w:val="0"/>
              </w:rPr>
              <w:t xml:space="preserve">*</w:t>
            </w:r>
          </w:p>
        </w:tc>
        <w:tc>
          <w:tcPr>
            <w:shd w:fill="auto" w:val="clear"/>
            <w:tcMar>
              <w:top w:w="-70.29921259842521" w:type="dxa"/>
              <w:left w:w="-70.29921259842521" w:type="dxa"/>
              <w:bottom w:w="-70.29921259842521" w:type="dxa"/>
              <w:right w:w="-70.29921259842521" w:type="dxa"/>
            </w:tcMar>
            <w:vAlign w:val="top"/>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r>
      <w:tr>
        <w:trPr>
          <w:cantSplit w:val="0"/>
          <w:tblHeader w:val="0"/>
        </w:trPr>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52">
            <w:pPr>
              <w:widowControl w:val="0"/>
              <w:spacing w:after="0" w:line="24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UERJ</w:t>
            </w:r>
          </w:p>
        </w:tc>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53">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FEBF</w:t>
            </w:r>
          </w:p>
        </w:tc>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54">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Diurno/Noturno</w:t>
            </w:r>
          </w:p>
        </w:tc>
        <w:tc>
          <w:tcPr>
            <w:tcBorders>
              <w:top w:color="cccccc" w:space="0" w:sz="5" w:val="single"/>
              <w:left w:color="000000" w:space="0" w:sz="5" w:val="single"/>
              <w:bottom w:color="cccccc"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55">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0</w:t>
            </w:r>
          </w:p>
        </w:tc>
        <w:tc>
          <w:tcPr>
            <w:shd w:fill="auto" w:val="clear"/>
            <w:tcMar>
              <w:top w:w="-70.29921259842521" w:type="dxa"/>
              <w:left w:w="-70.29921259842521" w:type="dxa"/>
              <w:bottom w:w="-70.29921259842521" w:type="dxa"/>
              <w:right w:w="-70.29921259842521" w:type="dxa"/>
            </w:tcMar>
            <w:vAlign w:val="top"/>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Fonts w:ascii="Arial" w:cs="Arial" w:eastAsia="Arial" w:hAnsi="Arial"/>
                <w:sz w:val="24"/>
                <w:szCs w:val="24"/>
                <w:rtl w:val="0"/>
              </w:rPr>
              <w:t xml:space="preserve">*</w:t>
            </w:r>
          </w:p>
        </w:tc>
        <w:tc>
          <w:tcPr>
            <w:shd w:fill="auto" w:val="clear"/>
            <w:tcMar>
              <w:top w:w="-70.29921259842521" w:type="dxa"/>
              <w:left w:w="-70.29921259842521" w:type="dxa"/>
              <w:bottom w:w="-70.29921259842521" w:type="dxa"/>
              <w:right w:w="-70.29921259842521" w:type="dxa"/>
            </w:tcMar>
            <w:vAlign w:val="top"/>
          </w:tcPr>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r>
      <w:tr>
        <w:trPr>
          <w:cantSplit w:val="0"/>
          <w:tblHeader w:val="0"/>
        </w:trPr>
        <w:tc>
          <w:tcPr>
            <w:tcBorders>
              <w:top w:color="cccccc" w:space="0" w:sz="5" w:val="single"/>
              <w:left w:color="000000" w:space="0" w:sz="5" w:val="single"/>
              <w:bottom w:color="000000"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58">
            <w:pPr>
              <w:widowControl w:val="0"/>
              <w:spacing w:after="0" w:line="24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UERJ</w:t>
            </w:r>
          </w:p>
        </w:tc>
        <w:tc>
          <w:tcPr>
            <w:tcBorders>
              <w:top w:color="cccccc" w:space="0" w:sz="5" w:val="single"/>
              <w:left w:color="000000" w:space="0" w:sz="5" w:val="single"/>
              <w:bottom w:color="000000"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59">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São Gonçalo</w:t>
            </w:r>
          </w:p>
        </w:tc>
        <w:tc>
          <w:tcPr>
            <w:tcBorders>
              <w:top w:color="cccccc" w:space="0" w:sz="5" w:val="single"/>
              <w:left w:color="000000" w:space="0" w:sz="5" w:val="single"/>
              <w:bottom w:color="000000"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5A">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Diurno/Noturno</w:t>
            </w:r>
          </w:p>
        </w:tc>
        <w:tc>
          <w:tcPr>
            <w:tcBorders>
              <w:top w:color="cccccc" w:space="0" w:sz="5" w:val="single"/>
              <w:left w:color="000000" w:space="0" w:sz="5" w:val="single"/>
              <w:bottom w:color="000000" w:space="0" w:sz="4"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5B">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0</w:t>
            </w:r>
          </w:p>
        </w:tc>
        <w:tc>
          <w:tcPr>
            <w:shd w:fill="auto" w:val="clear"/>
            <w:tcMar>
              <w:top w:w="-70.29921259842521" w:type="dxa"/>
              <w:left w:w="-70.29921259842521" w:type="dxa"/>
              <w:bottom w:w="-70.29921259842521" w:type="dxa"/>
              <w:right w:w="-70.29921259842521" w:type="dxa"/>
            </w:tcMar>
            <w:vAlign w:val="top"/>
          </w:tcPr>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Fonts w:ascii="Arial" w:cs="Arial" w:eastAsia="Arial" w:hAnsi="Arial"/>
                <w:sz w:val="24"/>
                <w:szCs w:val="24"/>
                <w:rtl w:val="0"/>
              </w:rPr>
              <w:t xml:space="preserve">*</w:t>
            </w:r>
          </w:p>
        </w:tc>
        <w:tc>
          <w:tcPr>
            <w:shd w:fill="auto" w:val="clear"/>
            <w:tcMar>
              <w:top w:w="-70.29921259842521" w:type="dxa"/>
              <w:left w:w="-70.29921259842521" w:type="dxa"/>
              <w:bottom w:w="-70.29921259842521" w:type="dxa"/>
              <w:right w:w="-70.29921259842521" w:type="dxa"/>
            </w:tcMar>
            <w:vAlign w:val="top"/>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r>
      <w:tr>
        <w:trPr>
          <w:cantSplit w:val="0"/>
          <w:tblHeader w:val="0"/>
        </w:trPr>
        <w:tc>
          <w:tcPr>
            <w:tcBorders>
              <w:top w:color="000000" w:space="0" w:sz="5" w:val="single"/>
              <w:left w:color="000000" w:space="0" w:sz="5" w:val="single"/>
              <w:bottom w:color="000000"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5E">
            <w:pPr>
              <w:widowControl w:val="0"/>
              <w:spacing w:after="0" w:line="24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UFRJ</w:t>
            </w:r>
          </w:p>
        </w:tc>
        <w:tc>
          <w:tcPr>
            <w:tcBorders>
              <w:top w:color="000000" w:space="0" w:sz="5" w:val="single"/>
              <w:left w:color="000000" w:space="0" w:sz="5" w:val="single"/>
              <w:bottom w:color="000000"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5F">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Cidade Universitária</w:t>
            </w:r>
          </w:p>
        </w:tc>
        <w:tc>
          <w:tcPr>
            <w:tcBorders>
              <w:top w:color="000000" w:space="0" w:sz="5" w:val="single"/>
              <w:left w:color="000000" w:space="0" w:sz="5" w:val="single"/>
              <w:bottom w:color="000000"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60">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Integral</w:t>
            </w:r>
          </w:p>
        </w:tc>
        <w:tc>
          <w:tcPr>
            <w:tcBorders>
              <w:top w:color="000000" w:space="0" w:sz="4" w:val="single"/>
              <w:left w:color="000000" w:space="0" w:sz="5" w:val="single"/>
              <w:bottom w:color="000000" w:space="0" w:sz="5" w:val="single"/>
              <w:right w:color="000000" w:space="0" w:sz="5" w:val="single"/>
            </w:tcBorders>
            <w:tcMar>
              <w:top w:w="-70.29921259842521" w:type="dxa"/>
              <w:left w:w="-70.29921259842521" w:type="dxa"/>
              <w:bottom w:w="-70.29921259842521" w:type="dxa"/>
              <w:right w:w="-70.29921259842521" w:type="dxa"/>
            </w:tcMar>
            <w:vAlign w:val="bottom"/>
          </w:tcPr>
          <w:p w:rsidR="00000000" w:rsidDel="00000000" w:rsidP="00000000" w:rsidRDefault="00000000" w:rsidRPr="00000000" w14:paraId="00000061">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0</w:t>
            </w:r>
          </w:p>
        </w:tc>
        <w:tc>
          <w:tcPr>
            <w:shd w:fill="auto" w:val="clear"/>
            <w:tcMar>
              <w:top w:w="-70.29921259842521" w:type="dxa"/>
              <w:left w:w="-70.29921259842521" w:type="dxa"/>
              <w:bottom w:w="-70.29921259842521" w:type="dxa"/>
              <w:right w:w="-70.29921259842521" w:type="dxa"/>
            </w:tcMar>
            <w:vAlign w:val="top"/>
          </w:tcPr>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Fonts w:ascii="Arial" w:cs="Arial" w:eastAsia="Arial" w:hAnsi="Arial"/>
                <w:sz w:val="24"/>
                <w:szCs w:val="24"/>
                <w:rtl w:val="0"/>
              </w:rPr>
              <w:t xml:space="preserve">*</w:t>
            </w:r>
          </w:p>
        </w:tc>
        <w:tc>
          <w:tcPr>
            <w:shd w:fill="auto" w:val="clear"/>
            <w:tcMar>
              <w:top w:w="-70.29921259842521" w:type="dxa"/>
              <w:left w:w="-70.29921259842521" w:type="dxa"/>
              <w:bottom w:w="-70.29921259842521" w:type="dxa"/>
              <w:right w:w="-70.29921259842521" w:type="dxa"/>
            </w:tcMar>
            <w:vAlign w:val="top"/>
          </w:tcPr>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r>
    </w:tbl>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Revisando os dados da tabela podemos visualizar que a maioria dos cursos de Geografia no Rio de Janeiro oferece poucas – ou nenhuma – disciplina voltada para a temática étnico-racial. A UFRJ, por exemplo, não apresenta nenhuma disciplina, ainda que desenvolva programas de extensão à área. Essa ausência na grade curricular compromete o alcance do conteúdo junto a todos  os licenciandos de forma homogênea.</w:t>
      </w:r>
    </w:p>
    <w:p w:rsidR="00000000" w:rsidDel="00000000" w:rsidP="00000000" w:rsidRDefault="00000000" w:rsidRPr="00000000" w14:paraId="00000066">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Na UERJ, apenas a unidade do Maracanã mostra que há uma disciplina. Contudo, não foi possível confirmar se essa disciplina é obrigatória, optativa ou eletiva. A UFF  apresenta uma cadeira optativa, enquanto a UFRRJ possui uma cadeira em cada unidade. Vale a pena observar que, essas disciplinas não fazem parte do Departamento de Geografia e sim do Instituto de Educação.</w:t>
      </w:r>
    </w:p>
    <w:p w:rsidR="00000000" w:rsidDel="00000000" w:rsidP="00000000" w:rsidRDefault="00000000" w:rsidRPr="00000000" w14:paraId="00000067">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maior parte das instituições não possuem disciplinas específicas, enquanto outra parte apresenta apenas uma ou duas cadeiras – que frequentemente são optativas. Esse cenário compromete a formação do docente, e  fortalece a lógica eurocêntrica que permeia o ensino superior.</w:t>
      </w:r>
    </w:p>
    <w:p w:rsidR="00000000" w:rsidDel="00000000" w:rsidP="00000000" w:rsidRDefault="00000000" w:rsidRPr="00000000" w14:paraId="00000068">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Considerando o contexto fluminense – onde o racismo ambiental reflete na segregação sócio-espacial e na violência urbana, onde a população negra é a mais atingida –, a ausência de uma abordagem consistem sobre relações étnico-raciais nos cursos de licenciatura, corrobora para o enfraquecimento para a construção de uma educação anti-racista. </w:t>
      </w:r>
    </w:p>
    <w:p w:rsidR="00000000" w:rsidDel="00000000" w:rsidP="00000000" w:rsidRDefault="00000000" w:rsidRPr="00000000" w14:paraId="00000069">
      <w:pPr>
        <w:spacing w:after="240" w:before="240" w:line="360" w:lineRule="auto"/>
        <w:jc w:val="both"/>
        <w:rPr/>
      </w:pPr>
      <w:r w:rsidDel="00000000" w:rsidR="00000000" w:rsidRPr="00000000">
        <w:rPr>
          <w:rFonts w:ascii="Arial" w:cs="Arial" w:eastAsia="Arial" w:hAnsi="Arial"/>
          <w:sz w:val="24"/>
          <w:szCs w:val="24"/>
          <w:rtl w:val="0"/>
        </w:rPr>
        <w:t xml:space="preserve">Para que se reverta esse cenário, é necessário repensar qual preparação as instituições querem ofertar ao corpo estudantil, dessa forma é preciso oferecer mais disciplinas obrigatórias sobre a temática das étnico-raciais, uma vez que a limitação dessas disciplinas não podem ser vistas como uma falha na estrutura do curso ou apenas problemas em sua administração, mas sim da revelação de uma educação padronizada, centralizada e segregadora, onde persiste na reformulação de seu currículo que oferece uma formação verdadeiramente libertadora (Freire, 2005), que ultrapasse marcos legais e tenha compromisso com a justiça social e o enfrentamento das desigualdades raciais.</w:t>
      </w:r>
      <w:r w:rsidDel="00000000" w:rsidR="00000000" w:rsidRPr="00000000">
        <w:rPr>
          <w:rtl w:val="0"/>
        </w:rPr>
      </w:r>
    </w:p>
    <w:p w:rsidR="00000000" w:rsidDel="00000000" w:rsidP="00000000" w:rsidRDefault="00000000" w:rsidRPr="00000000" w14:paraId="0000006A">
      <w:pPr>
        <w:pStyle w:val="Heading2"/>
        <w:keepNext w:val="0"/>
        <w:keepLines w:val="0"/>
        <w:jc w:val="both"/>
        <w:rPr>
          <w:rFonts w:ascii="Arial" w:cs="Arial" w:eastAsia="Arial" w:hAnsi="Arial"/>
          <w:sz w:val="24"/>
          <w:szCs w:val="24"/>
        </w:rPr>
      </w:pPr>
      <w:bookmarkStart w:colFirst="0" w:colLast="0" w:name="_3bjdtdn20eji" w:id="3"/>
      <w:bookmarkEnd w:id="3"/>
      <w:r w:rsidDel="00000000" w:rsidR="00000000" w:rsidRPr="00000000">
        <w:rPr>
          <w:rFonts w:ascii="Arial" w:cs="Arial" w:eastAsia="Arial" w:hAnsi="Arial"/>
          <w:sz w:val="24"/>
          <w:szCs w:val="24"/>
          <w:rtl w:val="0"/>
        </w:rPr>
        <w:t xml:space="preserve">4. Conclusão</w:t>
      </w:r>
    </w:p>
    <w:p w:rsidR="00000000" w:rsidDel="00000000" w:rsidP="00000000" w:rsidRDefault="00000000" w:rsidRPr="00000000" w14:paraId="0000006B">
      <w:pPr>
        <w:spacing w:after="200" w:before="20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pesquisa mostra que a implementação da Lei 10639/03 nos cursos de Geografia ainda é insuficiente para formar professores capazes de trabalhar criticamente as relações etnico-raciais. Embora a legislação exista, sua efetivação esbarra sobre o engessamento de currículos e na falta de preparo didático para abordar essas questões, fortalecendo um ensino tradicional que reproduz desigualdades em vez de superá-las.</w:t>
      </w:r>
    </w:p>
    <w:p w:rsidR="00000000" w:rsidDel="00000000" w:rsidP="00000000" w:rsidRDefault="00000000" w:rsidRPr="00000000" w14:paraId="0000006C">
      <w:pPr>
        <w:spacing w:after="200" w:before="20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Geografia, como campo de conhecimento transformados, exige uma revisão profunda na formação do futuro professor – não apenas para cumprir exigências legais, mas para formar educadores comprometidos com justiça social. Isso implica repensar projetos pedagógicos, incorporar conteúdos antirracistas de forma estrutural e criar mecanismos de avaliação que garantam uma prática educativa verdadeiramente que emancipe. Apenas dessa forma a disciplina poderá cumprir seu papel de analisar criticamente e transformar as desigualdades que marcam nosso espaço geográfico.</w:t>
      </w:r>
    </w:p>
    <w:p w:rsidR="00000000" w:rsidDel="00000000" w:rsidP="00000000" w:rsidRDefault="00000000" w:rsidRPr="00000000" w14:paraId="0000006D">
      <w:pPr>
        <w:spacing w:after="240" w:before="240" w:lineRule="auto"/>
        <w:ind w:firstLine="72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6E">
      <w:pPr>
        <w:spacing w:after="240" w:before="240" w:lineRule="auto"/>
        <w:ind w:firstLine="72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6F">
      <w:pPr>
        <w:spacing w:after="240" w:before="240" w:lineRule="auto"/>
        <w:ind w:firstLine="72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0">
      <w:pPr>
        <w:spacing w:after="240" w:before="240" w:lineRule="auto"/>
        <w:ind w:firstLine="72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1">
      <w:pPr>
        <w:spacing w:after="240" w:before="240" w:lineRule="auto"/>
        <w:ind w:firstLine="72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2">
      <w:pPr>
        <w:spacing w:after="240" w:before="240" w:lineRule="auto"/>
        <w:ind w:firstLine="72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3">
      <w:pPr>
        <w:spacing w:after="240" w:before="240" w:lineRule="auto"/>
        <w:ind w:firstLine="72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4">
      <w:pPr>
        <w:spacing w:after="240" w:before="240" w:lineRule="auto"/>
        <w:ind w:firstLine="72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5">
      <w:pPr>
        <w:spacing w:after="240" w:before="240" w:lineRule="auto"/>
        <w:ind w:firstLine="72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6">
      <w:pPr>
        <w:pStyle w:val="Heading2"/>
        <w:keepNext w:val="0"/>
        <w:keepLines w:val="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5. Referências</w:t>
      </w:r>
    </w:p>
    <w:p w:rsidR="00000000" w:rsidDel="00000000" w:rsidP="00000000" w:rsidRDefault="00000000" w:rsidRPr="00000000" w14:paraId="00000077">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ALMEIDA, Sílvio Luiz de.</w:t>
      </w:r>
      <w:r w:rsidDel="00000000" w:rsidR="00000000" w:rsidRPr="00000000">
        <w:rPr>
          <w:rFonts w:ascii="Arial" w:cs="Arial" w:eastAsia="Arial" w:hAnsi="Arial"/>
          <w:b w:val="1"/>
          <w:sz w:val="24"/>
          <w:szCs w:val="24"/>
          <w:rtl w:val="0"/>
        </w:rPr>
        <w:t xml:space="preserve"> Racismo estrutura</w:t>
      </w:r>
      <w:r w:rsidDel="00000000" w:rsidR="00000000" w:rsidRPr="00000000">
        <w:rPr>
          <w:rFonts w:ascii="Arial" w:cs="Arial" w:eastAsia="Arial" w:hAnsi="Arial"/>
          <w:sz w:val="24"/>
          <w:szCs w:val="24"/>
          <w:rtl w:val="0"/>
        </w:rPr>
        <w:t xml:space="preserve">l. São Paulo: Sueli Carneiro; Pólen, 2019.</w:t>
      </w:r>
    </w:p>
    <w:p w:rsidR="00000000" w:rsidDel="00000000" w:rsidP="00000000" w:rsidRDefault="00000000" w:rsidRPr="00000000" w14:paraId="00000078">
      <w:pPr>
        <w:spacing w:after="0" w:line="240" w:lineRule="auto"/>
        <w:jc w:val="both"/>
        <w:rPr>
          <w:rFonts w:ascii="Arial" w:cs="Arial" w:eastAsia="Arial" w:hAnsi="Arial"/>
          <w:color w:val="0d0d0d"/>
          <w:sz w:val="24"/>
          <w:szCs w:val="24"/>
        </w:rPr>
      </w:pPr>
      <w:r w:rsidDel="00000000" w:rsidR="00000000" w:rsidRPr="00000000">
        <w:rPr>
          <w:rtl w:val="0"/>
        </w:rPr>
      </w:r>
    </w:p>
    <w:p w:rsidR="00000000" w:rsidDel="00000000" w:rsidP="00000000" w:rsidRDefault="00000000" w:rsidRPr="00000000" w14:paraId="00000079">
      <w:pPr>
        <w:spacing w:after="0" w:line="240" w:lineRule="auto"/>
        <w:jc w:val="both"/>
        <w:rPr>
          <w:rFonts w:ascii="Arial" w:cs="Arial" w:eastAsia="Arial" w:hAnsi="Arial"/>
          <w:color w:val="0d0d0d"/>
          <w:sz w:val="24"/>
          <w:szCs w:val="24"/>
        </w:rPr>
      </w:pPr>
      <w:r w:rsidDel="00000000" w:rsidR="00000000" w:rsidRPr="00000000">
        <w:rPr>
          <w:rFonts w:ascii="Arial" w:cs="Arial" w:eastAsia="Arial" w:hAnsi="Arial"/>
          <w:color w:val="0d0d0d"/>
          <w:sz w:val="24"/>
          <w:szCs w:val="24"/>
          <w:rtl w:val="0"/>
        </w:rPr>
        <w:t xml:space="preserve">BRASIL. </w:t>
      </w:r>
      <w:r w:rsidDel="00000000" w:rsidR="00000000" w:rsidRPr="00000000">
        <w:rPr>
          <w:rFonts w:ascii="Arial" w:cs="Arial" w:eastAsia="Arial" w:hAnsi="Arial"/>
          <w:b w:val="1"/>
          <w:color w:val="0d0d0d"/>
          <w:sz w:val="24"/>
          <w:szCs w:val="24"/>
          <w:rtl w:val="0"/>
        </w:rPr>
        <w:t xml:space="preserve">Lei nº 10.639, de 9 de janeiro de 2003</w:t>
      </w:r>
      <w:r w:rsidDel="00000000" w:rsidR="00000000" w:rsidRPr="00000000">
        <w:rPr>
          <w:rFonts w:ascii="Arial" w:cs="Arial" w:eastAsia="Arial" w:hAnsi="Arial"/>
          <w:color w:val="0d0d0d"/>
          <w:sz w:val="24"/>
          <w:szCs w:val="24"/>
          <w:rtl w:val="0"/>
        </w:rPr>
        <w:t xml:space="preserve">. Altera a Lei nº 9.394, de 20 de dezembro de 1996, que estabelece as diretrizes e bases da educação nacional, para incluir no currículo oficial da Rede de Ensino a obrigatoriedade da temática "História e Cultura Afro-Brasileira". Diário Oficial da União, Brasília, DF, 10 jan. 2003. Seção 1, p. 1.</w:t>
      </w:r>
    </w:p>
    <w:p w:rsidR="00000000" w:rsidDel="00000000" w:rsidP="00000000" w:rsidRDefault="00000000" w:rsidRPr="00000000" w14:paraId="0000007A">
      <w:pPr>
        <w:spacing w:after="0" w:line="240" w:lineRule="auto"/>
        <w:jc w:val="both"/>
        <w:rPr>
          <w:rFonts w:ascii="Arial" w:cs="Arial" w:eastAsia="Arial" w:hAnsi="Arial"/>
          <w:color w:val="0d0d0d"/>
          <w:sz w:val="24"/>
          <w:szCs w:val="24"/>
        </w:rPr>
      </w:pPr>
      <w:r w:rsidDel="00000000" w:rsidR="00000000" w:rsidRPr="00000000">
        <w:rPr>
          <w:rFonts w:ascii="Arial" w:cs="Arial" w:eastAsia="Arial" w:hAnsi="Arial"/>
          <w:color w:val="0d0d0d"/>
          <w:sz w:val="24"/>
          <w:szCs w:val="24"/>
          <w:rtl w:val="0"/>
        </w:rPr>
        <w:t xml:space="preserve">________. Ministério da Educação. </w:t>
      </w:r>
      <w:r w:rsidDel="00000000" w:rsidR="00000000" w:rsidRPr="00000000">
        <w:rPr>
          <w:rFonts w:ascii="Arial" w:cs="Arial" w:eastAsia="Arial" w:hAnsi="Arial"/>
          <w:b w:val="1"/>
          <w:color w:val="0d0d0d"/>
          <w:sz w:val="24"/>
          <w:szCs w:val="24"/>
          <w:rtl w:val="0"/>
        </w:rPr>
        <w:t xml:space="preserve">Diretrizes Curriculares Nacionais Para a Educação das Relações Étnico-Raciais e para o Ensino de História e Cultura Afro-brasileira e Africana.</w:t>
      </w:r>
      <w:r w:rsidDel="00000000" w:rsidR="00000000" w:rsidRPr="00000000">
        <w:rPr>
          <w:rFonts w:ascii="Arial" w:cs="Arial" w:eastAsia="Arial" w:hAnsi="Arial"/>
          <w:color w:val="0d0d0d"/>
          <w:sz w:val="24"/>
          <w:szCs w:val="24"/>
          <w:rtl w:val="0"/>
        </w:rPr>
        <w:t xml:space="preserve"> Parecer CNE /CP 3 / 2004, de 10 de março de 2004.</w:t>
      </w:r>
    </w:p>
    <w:p w:rsidR="00000000" w:rsidDel="00000000" w:rsidP="00000000" w:rsidRDefault="00000000" w:rsidRPr="00000000" w14:paraId="0000007B">
      <w:pPr>
        <w:spacing w:after="0" w:line="240" w:lineRule="auto"/>
        <w:jc w:val="both"/>
        <w:rPr>
          <w:rFonts w:ascii="Arial" w:cs="Arial" w:eastAsia="Arial" w:hAnsi="Arial"/>
          <w:color w:val="0d0d0d"/>
          <w:sz w:val="24"/>
          <w:szCs w:val="24"/>
        </w:rPr>
      </w:pPr>
      <w:r w:rsidDel="00000000" w:rsidR="00000000" w:rsidRPr="00000000">
        <w:rPr>
          <w:rtl w:val="0"/>
        </w:rPr>
      </w:r>
    </w:p>
    <w:p w:rsidR="00000000" w:rsidDel="00000000" w:rsidP="00000000" w:rsidRDefault="00000000" w:rsidRPr="00000000" w14:paraId="0000007C">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Freire, Paulo. </w:t>
      </w:r>
      <w:r w:rsidDel="00000000" w:rsidR="00000000" w:rsidRPr="00000000">
        <w:rPr>
          <w:rFonts w:ascii="Arial" w:cs="Arial" w:eastAsia="Arial" w:hAnsi="Arial"/>
          <w:b w:val="1"/>
          <w:sz w:val="24"/>
          <w:szCs w:val="24"/>
          <w:rtl w:val="0"/>
        </w:rPr>
        <w:t xml:space="preserve">Pedagogia do Oprimido</w:t>
      </w:r>
      <w:r w:rsidDel="00000000" w:rsidR="00000000" w:rsidRPr="00000000">
        <w:rPr>
          <w:rFonts w:ascii="Arial" w:cs="Arial" w:eastAsia="Arial" w:hAnsi="Arial"/>
          <w:sz w:val="24"/>
          <w:szCs w:val="24"/>
          <w:rtl w:val="0"/>
        </w:rPr>
        <w:t xml:space="preserve">. 42.ª ed. Rio de Janeiro: Paz e Terra, 2005.</w:t>
      </w:r>
    </w:p>
    <w:p w:rsidR="00000000" w:rsidDel="00000000" w:rsidP="00000000" w:rsidRDefault="00000000" w:rsidRPr="00000000" w14:paraId="0000007D">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E">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HOOKS, Bell. </w:t>
      </w:r>
      <w:r w:rsidDel="00000000" w:rsidR="00000000" w:rsidRPr="00000000">
        <w:rPr>
          <w:rFonts w:ascii="Arial" w:cs="Arial" w:eastAsia="Arial" w:hAnsi="Arial"/>
          <w:b w:val="1"/>
          <w:sz w:val="24"/>
          <w:szCs w:val="24"/>
          <w:rtl w:val="0"/>
        </w:rPr>
        <w:t xml:space="preserve">Ensinando a transgredir: a educação como prática da liberdade</w:t>
      </w:r>
      <w:r w:rsidDel="00000000" w:rsidR="00000000" w:rsidRPr="00000000">
        <w:rPr>
          <w:rFonts w:ascii="Arial" w:cs="Arial" w:eastAsia="Arial" w:hAnsi="Arial"/>
          <w:sz w:val="24"/>
          <w:szCs w:val="24"/>
          <w:rtl w:val="0"/>
        </w:rPr>
        <w:t xml:space="preserve">. Tradução de Ana Luiza d’Ávila Viana e Ana Maria Domingues de Lima. 6. ed. São Paulo: WMF Martins Fontes, 2013.</w:t>
      </w:r>
    </w:p>
    <w:p w:rsidR="00000000" w:rsidDel="00000000" w:rsidP="00000000" w:rsidRDefault="00000000" w:rsidRPr="00000000" w14:paraId="0000007F">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80">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SANTOS, R. E. dos. </w:t>
      </w:r>
      <w:r w:rsidDel="00000000" w:rsidR="00000000" w:rsidRPr="00000000">
        <w:rPr>
          <w:rFonts w:ascii="Arial" w:cs="Arial" w:eastAsia="Arial" w:hAnsi="Arial"/>
          <w:b w:val="1"/>
          <w:sz w:val="24"/>
          <w:szCs w:val="24"/>
          <w:rtl w:val="0"/>
        </w:rPr>
        <w:t xml:space="preserve">A LEI 10.639 E O ENSINO DE GEOGRAFIA: CONSTRUINDO UMA AGENDA DE PESQUISA-AÇÃO</w:t>
      </w:r>
      <w:r w:rsidDel="00000000" w:rsidR="00000000" w:rsidRPr="00000000">
        <w:rPr>
          <w:rFonts w:ascii="Arial" w:cs="Arial" w:eastAsia="Arial" w:hAnsi="Arial"/>
          <w:sz w:val="24"/>
          <w:szCs w:val="24"/>
          <w:rtl w:val="0"/>
        </w:rPr>
        <w:t xml:space="preserve">. Revista Tamoios, 7(1), 04–24, 2011.</w:t>
      </w:r>
    </w:p>
    <w:p w:rsidR="00000000" w:rsidDel="00000000" w:rsidP="00000000" w:rsidRDefault="00000000" w:rsidRPr="00000000" w14:paraId="00000081">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2">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3">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4">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sectPr>
      <w:headerReference r:id="rId7" w:type="default"/>
      <w:headerReference r:id="rId8" w:type="first"/>
      <w:headerReference r:id="rId9" w:type="even"/>
      <w:footerReference r:id="rId10" w:type="default"/>
      <w:footerReference r:id="rId11" w:type="first"/>
      <w:pgSz w:h="16838" w:w="11906" w:orient="portrait"/>
      <w:pgMar w:bottom="1701" w:top="1985" w:left="1701" w:right="1134" w:header="1701" w:footer="272"/>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A">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ind w:left="-1695" w:firstLine="0"/>
      <w:rPr>
        <w:color w:val="000000"/>
      </w:rPr>
    </w:pPr>
    <w:r w:rsidDel="00000000" w:rsidR="00000000" w:rsidRPr="00000000">
      <w:rPr/>
      <w:drawing>
        <wp:inline distB="0" distT="0" distL="0" distR="0">
          <wp:extent cx="7848600" cy="209550"/>
          <wp:effectExtent b="0" l="0" r="0" t="0"/>
          <wp:docPr id="4"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848600" cy="209550"/>
                  </a:xfrm>
                  <a:prstGeom prst="rect"/>
                  <a:ln/>
                </pic:spPr>
              </pic:pic>
            </a:graphicData>
          </a:graphic>
        </wp:inline>
      </w:drawing>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701"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8391525" cy="228600"/>
          <wp:effectExtent b="0" l="0" r="0" t="0"/>
          <wp:docPr id="3"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8391525" cy="228600"/>
                  </a:xfrm>
                  <a:prstGeom prst="rect"/>
                  <a:ln/>
                </pic:spPr>
              </pic:pic>
            </a:graphicData>
          </a:graphic>
        </wp:inline>
      </w:drawing>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8C">
      <w:pPr>
        <w:spacing w:after="0" w:line="240" w:lineRule="auto"/>
        <w:jc w:val="both"/>
        <w:rPr>
          <w:rFonts w:ascii="Arial" w:cs="Arial" w:eastAsia="Arial" w:hAnsi="Arial"/>
          <w:sz w:val="20"/>
          <w:szCs w:val="20"/>
        </w:rPr>
      </w:pPr>
      <w:r w:rsidDel="00000000" w:rsidR="00000000" w:rsidRPr="00000000">
        <w:rPr>
          <w:rStyle w:val="FootnoteReference"/>
          <w:vertAlign w:val="superscript"/>
        </w:rPr>
        <w:footnoteRef/>
      </w:r>
      <w:r w:rsidDel="00000000" w:rsidR="00000000" w:rsidRPr="00000000">
        <w:rPr>
          <w:rFonts w:ascii="Arial" w:cs="Arial" w:eastAsia="Arial" w:hAnsi="Arial"/>
          <w:sz w:val="20"/>
          <w:szCs w:val="20"/>
          <w:rtl w:val="0"/>
        </w:rPr>
        <w:t xml:space="preserve"> Trata-se do projeto intitulado “UFRRJ e o Artigo 26-A da LDB: como andam as licenciaturas das Ciências Humanas’.”, (PVI 4809-2023), coordenado pela Profª Drª Alessandra Pio. Currículo disponível em: </w:t>
      </w:r>
      <w:hyperlink r:id="rId1">
        <w:r w:rsidDel="00000000" w:rsidR="00000000" w:rsidRPr="00000000">
          <w:rPr>
            <w:rFonts w:ascii="Arial" w:cs="Arial" w:eastAsia="Arial" w:hAnsi="Arial"/>
            <w:color w:val="0000ff"/>
            <w:sz w:val="20"/>
            <w:szCs w:val="20"/>
            <w:u w:val="single"/>
            <w:rtl w:val="0"/>
          </w:rPr>
          <w:t xml:space="preserve">http://lattes.cnpq.br/0968781274360926</w:t>
        </w:r>
      </w:hyperlink>
      <w:r w:rsidDel="00000000" w:rsidR="00000000" w:rsidRPr="00000000">
        <w:rPr>
          <w:rFonts w:ascii="Arial" w:cs="Arial" w:eastAsia="Arial" w:hAnsi="Arial"/>
          <w:sz w:val="20"/>
          <w:szCs w:val="20"/>
          <w:rtl w:val="0"/>
        </w:rPr>
        <w:t xml:space="preserve"> </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pict>
        <v:shape id="WordPictureWatermark1" style="position:absolute;width:453.4pt;height:316.35pt;rotation:0;z-index:-503316481;mso-position-horizontal-relative:margin;mso-position-horizontal:center;mso-position-vertical-relative:margin;mso-position-vertical:center;" alt="" type="#_x0000_t75">
          <v:imagedata blacklevel="22938f" cropbottom="0f" cropleft="0f" cropright="0f" croptop="0f" gain="19661f" r:id="rId1" o:title="image3.png"/>
        </v:shape>
      </w:pic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36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ind w:right="360"/>
      <w:rPr>
        <w:color w:val="000000"/>
      </w:rPr>
    </w:pPr>
    <w:r w:rsidDel="00000000" w:rsidR="00000000" w:rsidRPr="00000000">
      <w:rPr>
        <w:rFonts w:ascii="Times New Roman" w:cs="Times New Roman" w:eastAsia="Times New Roman" w:hAnsi="Times New Roman"/>
        <w:sz w:val="24"/>
        <w:szCs w:val="24"/>
      </w:rPr>
      <w:pict>
        <v:shape id="WordPictureWatermark2" style="position:absolute;width:453.4pt;height:316.35pt;rotation:0;z-index:-503316481;mso-position-horizontal-relative:margin;mso-position-horizontal:absolute;margin-left:-20.149921259842518pt;mso-position-vertical-relative:margin;mso-position-vertical:absolute;margin-top:204.9pt;" alt="" type="#_x0000_t75">
          <v:imagedata blacklevel="22938f" cropbottom="0f" cropleft="0f" cropright="0f" croptop="0f" gain="19661f" r:id="rId1" o:title="image3.png"/>
        </v:shape>
      </w:pic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-1384299</wp:posOffset>
          </wp:positionH>
          <wp:positionV relativeFrom="paragraph">
            <wp:posOffset>-756284</wp:posOffset>
          </wp:positionV>
          <wp:extent cx="9065260" cy="309245"/>
          <wp:effectExtent b="0" l="0" r="0" t="0"/>
          <wp:wrapSquare wrapText="bothSides" distB="0" distT="0" distL="114300" distR="114300"/>
          <wp:docPr id="2"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9065260" cy="309245"/>
                  </a:xfrm>
                  <a:prstGeom prst="rect"/>
                  <a:ln/>
                </pic:spPr>
              </pic:pic>
            </a:graphicData>
          </a:graphic>
        </wp:anchor>
      </w:drawing>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701"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pict>
        <v:shape id="WordPictureWatermark3" style="position:absolute;width:453.4pt;height:316.35pt;rotation:0;z-index:-503316481;mso-position-horizontal-relative:margin;mso-position-horizontal:center;mso-position-vertical-relative:margin;mso-position-vertical:center;" alt="" type="#_x0000_t75">
          <v:imagedata blacklevel="22938f" cropbottom="0f" cropleft="0f" cropright="0f" croptop="0f" gain="19661f" r:id="rId1" o:title="image3.png"/>
        </v:shape>
      </w:pic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-1080134</wp:posOffset>
          </wp:positionH>
          <wp:positionV relativeFrom="paragraph">
            <wp:posOffset>-756284</wp:posOffset>
          </wp:positionV>
          <wp:extent cx="7693025" cy="309880"/>
          <wp:effectExtent b="0" l="0" r="0" t="0"/>
          <wp:wrapSquare wrapText="bothSides" distB="0" distT="0" distL="114300" distR="114300"/>
          <wp:docPr id="1"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7693025" cy="30988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B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11" Type="http://schemas.openxmlformats.org/officeDocument/2006/relationships/footer" Target="footer2.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eader" Target="header2.xml"/><Relationship Id="rId8"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notes.xml.rels><?xml version="1.0" encoding="UTF-8" standalone="yes"?><Relationships xmlns="http://schemas.openxmlformats.org/package/2006/relationships"><Relationship Id="rId1" Type="http://schemas.openxmlformats.org/officeDocument/2006/relationships/hyperlink" Target="http://lattes.cnpq.br/0968781274360926"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