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D2903" w14:textId="4CC0EB25"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Título:</w:t>
      </w:r>
      <w:r w:rsidR="001F7DBA">
        <w:rPr>
          <w:rFonts w:ascii="Arial" w:eastAsia="Arial" w:hAnsi="Arial" w:cs="Arial"/>
          <w:b/>
          <w:sz w:val="24"/>
          <w:szCs w:val="24"/>
        </w:rPr>
        <w:t xml:space="preserve"> </w:t>
      </w:r>
      <w:r w:rsidR="00D93A97" w:rsidRPr="00D93A97">
        <w:rPr>
          <w:rFonts w:ascii="Arial" w:eastAsia="Arial" w:hAnsi="Arial" w:cs="Arial"/>
          <w:sz w:val="24"/>
          <w:szCs w:val="24"/>
        </w:rPr>
        <w:t>ILÊ ÈKÓ, conhecimento é poder!</w:t>
      </w:r>
    </w:p>
    <w:p w14:paraId="240B080C" w14:textId="5F463502"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D93A97">
        <w:rPr>
          <w:rFonts w:ascii="Arial" w:eastAsia="Arial" w:hAnsi="Arial" w:cs="Arial"/>
          <w:b/>
          <w:sz w:val="24"/>
          <w:szCs w:val="24"/>
        </w:rPr>
        <w:t xml:space="preserve"> </w:t>
      </w:r>
      <w:r w:rsidR="00D93A97" w:rsidRPr="00D93A97">
        <w:rPr>
          <w:rFonts w:ascii="Arial" w:eastAsia="Arial" w:hAnsi="Arial" w:cs="Arial"/>
          <w:sz w:val="24"/>
          <w:szCs w:val="24"/>
        </w:rPr>
        <w:t>Luiza Nathalia Jesus de Lima (luizanathalialima@id.uff.br), Maria Eduarda</w:t>
      </w:r>
      <w:r w:rsidR="00AA0523">
        <w:rPr>
          <w:rFonts w:ascii="Arial" w:eastAsia="Arial" w:hAnsi="Arial" w:cs="Arial"/>
          <w:sz w:val="24"/>
          <w:szCs w:val="24"/>
        </w:rPr>
        <w:t xml:space="preserve"> Gomes (m</w:t>
      </w:r>
      <w:r w:rsidR="00AA0523" w:rsidRPr="00AA0523">
        <w:rPr>
          <w:rFonts w:ascii="Arial" w:eastAsia="Arial" w:hAnsi="Arial" w:cs="Arial"/>
          <w:sz w:val="24"/>
          <w:szCs w:val="24"/>
        </w:rPr>
        <w:t>egsilva@id.uff.br</w:t>
      </w:r>
      <w:proofErr w:type="gramStart"/>
      <w:r w:rsidR="00AA0523">
        <w:rPr>
          <w:rFonts w:ascii="Arial" w:eastAsia="Arial" w:hAnsi="Arial" w:cs="Arial"/>
          <w:sz w:val="24"/>
          <w:szCs w:val="24"/>
        </w:rPr>
        <w:t xml:space="preserve">) </w:t>
      </w:r>
      <w:r w:rsidR="00D93A97" w:rsidRPr="00D93A97">
        <w:rPr>
          <w:rFonts w:ascii="Arial" w:eastAsia="Arial" w:hAnsi="Arial" w:cs="Arial"/>
          <w:sz w:val="24"/>
          <w:szCs w:val="24"/>
        </w:rPr>
        <w:t>,</w:t>
      </w:r>
      <w:proofErr w:type="gramEnd"/>
      <w:r w:rsidR="00D93A97" w:rsidRPr="00D93A97">
        <w:rPr>
          <w:rFonts w:ascii="Arial" w:eastAsia="Arial" w:hAnsi="Arial" w:cs="Arial"/>
          <w:sz w:val="24"/>
          <w:szCs w:val="24"/>
        </w:rPr>
        <w:t xml:space="preserve"> Mario</w:t>
      </w:r>
      <w:r w:rsidR="00AA0523">
        <w:rPr>
          <w:rFonts w:ascii="Arial" w:eastAsia="Arial" w:hAnsi="Arial" w:cs="Arial"/>
          <w:sz w:val="24"/>
          <w:szCs w:val="24"/>
        </w:rPr>
        <w:t xml:space="preserve"> Sergio Soares</w:t>
      </w:r>
      <w:r w:rsidR="00194D8B">
        <w:rPr>
          <w:rFonts w:ascii="Arial" w:eastAsia="Arial" w:hAnsi="Arial" w:cs="Arial"/>
          <w:sz w:val="24"/>
          <w:szCs w:val="24"/>
        </w:rPr>
        <w:t xml:space="preserve"> (</w:t>
      </w:r>
      <w:r w:rsidR="00194D8B" w:rsidRPr="00194D8B">
        <w:rPr>
          <w:rFonts w:ascii="Arial" w:eastAsia="Arial" w:hAnsi="Arial" w:cs="Arial"/>
          <w:sz w:val="24"/>
          <w:szCs w:val="24"/>
        </w:rPr>
        <w:t>marios@id.uff.br</w:t>
      </w:r>
      <w:proofErr w:type="gramStart"/>
      <w:r w:rsidR="00194D8B">
        <w:rPr>
          <w:rFonts w:ascii="Arial" w:eastAsia="Arial" w:hAnsi="Arial" w:cs="Arial"/>
          <w:sz w:val="24"/>
          <w:szCs w:val="24"/>
        </w:rPr>
        <w:t>)</w:t>
      </w:r>
      <w:r w:rsidR="00AA0523">
        <w:rPr>
          <w:rFonts w:ascii="Arial" w:eastAsia="Arial" w:hAnsi="Arial" w:cs="Arial"/>
          <w:sz w:val="24"/>
          <w:szCs w:val="24"/>
        </w:rPr>
        <w:t xml:space="preserve"> </w:t>
      </w:r>
      <w:r w:rsidR="00D93A97" w:rsidRPr="00D93A97">
        <w:rPr>
          <w:rFonts w:ascii="Arial" w:eastAsia="Arial" w:hAnsi="Arial" w:cs="Arial"/>
          <w:sz w:val="24"/>
          <w:szCs w:val="24"/>
        </w:rPr>
        <w:t>,</w:t>
      </w:r>
      <w:proofErr w:type="gramEnd"/>
      <w:r w:rsidR="00D93A97" w:rsidRPr="00D93A97">
        <w:rPr>
          <w:rFonts w:ascii="Arial" w:eastAsia="Arial" w:hAnsi="Arial" w:cs="Arial"/>
          <w:sz w:val="24"/>
          <w:szCs w:val="24"/>
        </w:rPr>
        <w:t xml:space="preserve"> Sara Cristina de Almeida Santos (saraalmeida@id.uff.br) </w:t>
      </w:r>
      <w:proofErr w:type="spellStart"/>
      <w:r w:rsidR="00D93A97" w:rsidRPr="00D93A97">
        <w:rPr>
          <w:rFonts w:ascii="Arial" w:eastAsia="Arial" w:hAnsi="Arial" w:cs="Arial"/>
          <w:sz w:val="24"/>
          <w:szCs w:val="24"/>
        </w:rPr>
        <w:t>Talison</w:t>
      </w:r>
      <w:proofErr w:type="spellEnd"/>
      <w:r w:rsidR="00D93A97" w:rsidRPr="00D93A97">
        <w:rPr>
          <w:rFonts w:ascii="Arial" w:eastAsia="Arial" w:hAnsi="Arial" w:cs="Arial"/>
          <w:sz w:val="24"/>
          <w:szCs w:val="24"/>
        </w:rPr>
        <w:t xml:space="preserve"> Santos de Oliveira (talisonsantos@id.uff.br), Victor Leonardo Silva Santos (vleonardo@id.uff.br)</w:t>
      </w:r>
      <w:r w:rsidR="00000000">
        <w:pict w14:anchorId="76CAF811">
          <v:rect id="_x0000_i1025" style="width:0;height:1.5pt" o:hralign="center" o:hrstd="t" o:hr="t" fillcolor="#a0a0a0" stroked="f"/>
        </w:pict>
      </w:r>
    </w:p>
    <w:p w14:paraId="014C3DDD"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64EE03E6" w14:textId="35D66D59" w:rsidR="006C668C" w:rsidRDefault="00841BE9" w:rsidP="003137C9">
      <w:pPr>
        <w:spacing w:before="240" w:after="240" w:line="360" w:lineRule="auto"/>
        <w:jc w:val="both"/>
        <w:rPr>
          <w:rFonts w:ascii="Arial" w:eastAsia="Arial" w:hAnsi="Arial" w:cs="Arial"/>
          <w:sz w:val="24"/>
          <w:szCs w:val="24"/>
        </w:rPr>
      </w:pPr>
      <w:r w:rsidRPr="00841BE9">
        <w:rPr>
          <w:rFonts w:ascii="Arial" w:eastAsia="Arial" w:hAnsi="Arial" w:cs="Arial"/>
          <w:sz w:val="24"/>
          <w:szCs w:val="24"/>
        </w:rPr>
        <w:t xml:space="preserve">O Projeto de Pré-Vestibular Social ILÊ ÈKÓ, vinculado ao Instituto de Educação de Angra dos Reis (IEAR) da Universidade Federal Fluminense (UFF), emerge como um fruto da luta do movimento negro, UBUNTUFF e da </w:t>
      </w:r>
      <w:proofErr w:type="spellStart"/>
      <w:r w:rsidRPr="00841BE9">
        <w:rPr>
          <w:rFonts w:ascii="Arial" w:eastAsia="Arial" w:hAnsi="Arial" w:cs="Arial"/>
          <w:sz w:val="24"/>
          <w:szCs w:val="24"/>
        </w:rPr>
        <w:t>UNEafro</w:t>
      </w:r>
      <w:proofErr w:type="spellEnd"/>
      <w:r w:rsidRPr="00841BE9">
        <w:rPr>
          <w:rFonts w:ascii="Arial" w:eastAsia="Arial" w:hAnsi="Arial" w:cs="Arial"/>
          <w:sz w:val="24"/>
          <w:szCs w:val="24"/>
        </w:rPr>
        <w:t xml:space="preserve"> Brasil. Sua proposta central é oferecer a estudantes negros, uma educação de qualidade cuja base central é equidade racial, promovendo suporte educacional e </w:t>
      </w:r>
      <w:r w:rsidR="003137C9">
        <w:rPr>
          <w:rFonts w:ascii="Arial" w:eastAsia="Arial" w:hAnsi="Arial" w:cs="Arial"/>
          <w:sz w:val="24"/>
          <w:szCs w:val="24"/>
        </w:rPr>
        <w:t>p</w:t>
      </w:r>
      <w:r w:rsidRPr="00841BE9">
        <w:rPr>
          <w:rFonts w:ascii="Arial" w:eastAsia="Arial" w:hAnsi="Arial" w:cs="Arial"/>
          <w:sz w:val="24"/>
          <w:szCs w:val="24"/>
        </w:rPr>
        <w:t>reparando-os para os exames de vestibular</w:t>
      </w:r>
      <w:r w:rsidR="003137C9">
        <w:rPr>
          <w:rFonts w:ascii="Arial" w:eastAsia="Arial" w:hAnsi="Arial" w:cs="Arial"/>
          <w:sz w:val="24"/>
          <w:szCs w:val="24"/>
        </w:rPr>
        <w:t>es</w:t>
      </w:r>
      <w:r w:rsidRPr="00841BE9">
        <w:rPr>
          <w:rFonts w:ascii="Arial" w:eastAsia="Arial" w:hAnsi="Arial" w:cs="Arial"/>
          <w:sz w:val="24"/>
          <w:szCs w:val="24"/>
        </w:rPr>
        <w:t xml:space="preserve">. Sua metodologia pedagógica inclui o acompanhamento contínuo dos estudantes por meio de oficinas de estudos dirigidos, realização de exercícios e fóruns de discussão, promovendo um ensino crítico e emancipatório. O movimento negro, conforme destacado por Nilma Lino Gomes, desempenha um papel fundamental na reeducação da sociedade, desafiando estruturas racistas e reivindicando políticas públicas eficazes para garantir direitos e combater desigualdades. Pôde-se compreender o </w:t>
      </w:r>
      <w:r w:rsidR="003137C9">
        <w:rPr>
          <w:rFonts w:ascii="Arial" w:eastAsia="Arial" w:hAnsi="Arial" w:cs="Arial"/>
          <w:sz w:val="24"/>
          <w:szCs w:val="24"/>
        </w:rPr>
        <w:t>projeto,</w:t>
      </w:r>
      <w:r w:rsidRPr="00841BE9">
        <w:rPr>
          <w:rFonts w:ascii="Arial" w:eastAsia="Arial" w:hAnsi="Arial" w:cs="Arial"/>
          <w:sz w:val="24"/>
          <w:szCs w:val="24"/>
        </w:rPr>
        <w:t xml:space="preserve"> como uma ação que enfrenta as assimetrias de poder presentes no espaço geográfico e social, visto que os espaços educacionais são disputados de forma desigual.  A partir da perspectiva de Milton Santos, o território é um espaço de disputa, onde as relações de dominação e resistência se manifestam. Assim, o projeto não apenas promove o acesso à educação, mas também desafia os processos de exclusão historicamente construídos, que reforçam desigualdades socioespaciais. Além disso, a iniciativa atua no contexto da cidadania territorial, garantindo que os estudantes negros e periféricos tenham o direito de ocupar os espaços acadêmicos que</w:t>
      </w:r>
      <w:r w:rsidR="003137C9">
        <w:rPr>
          <w:rFonts w:ascii="Arial" w:eastAsia="Arial" w:hAnsi="Arial" w:cs="Arial"/>
          <w:sz w:val="24"/>
          <w:szCs w:val="24"/>
        </w:rPr>
        <w:t xml:space="preserve"> </w:t>
      </w:r>
      <w:r w:rsidRPr="00841BE9">
        <w:rPr>
          <w:rFonts w:ascii="Arial" w:eastAsia="Arial" w:hAnsi="Arial" w:cs="Arial"/>
          <w:sz w:val="24"/>
          <w:szCs w:val="24"/>
        </w:rPr>
        <w:t>foram negados. O Pré-Vestibular, portanto, representa um instrumento de transformação social que questiona privilégios estruturais e reafirma a educação como um direito fundamenta</w:t>
      </w:r>
      <w:r>
        <w:rPr>
          <w:rFonts w:ascii="Arial" w:eastAsia="Arial" w:hAnsi="Arial" w:cs="Arial"/>
          <w:sz w:val="24"/>
          <w:szCs w:val="24"/>
        </w:rPr>
        <w:t>l.</w:t>
      </w:r>
    </w:p>
    <w:p w14:paraId="2FE44495" w14:textId="77777777" w:rsidR="00B234F4"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Geografia; </w:t>
      </w:r>
      <w:r w:rsidR="00C71E09">
        <w:rPr>
          <w:rFonts w:ascii="Arial" w:eastAsia="Arial" w:hAnsi="Arial" w:cs="Arial"/>
          <w:sz w:val="24"/>
          <w:szCs w:val="24"/>
        </w:rPr>
        <w:t>Racismo</w:t>
      </w:r>
      <w:r>
        <w:rPr>
          <w:rFonts w:ascii="Arial" w:eastAsia="Arial" w:hAnsi="Arial" w:cs="Arial"/>
          <w:sz w:val="24"/>
          <w:szCs w:val="24"/>
        </w:rPr>
        <w:t xml:space="preserve">; </w:t>
      </w:r>
      <w:r w:rsidR="00C71E09">
        <w:rPr>
          <w:rFonts w:ascii="Arial" w:eastAsia="Arial" w:hAnsi="Arial" w:cs="Arial"/>
          <w:sz w:val="24"/>
          <w:szCs w:val="24"/>
        </w:rPr>
        <w:t>Educação antirracista</w:t>
      </w:r>
      <w:r>
        <w:rPr>
          <w:rFonts w:ascii="Arial" w:eastAsia="Arial" w:hAnsi="Arial" w:cs="Arial"/>
          <w:sz w:val="24"/>
          <w:szCs w:val="24"/>
        </w:rPr>
        <w:t>.</w:t>
      </w:r>
    </w:p>
    <w:p w14:paraId="218A7E5D" w14:textId="31233CE7" w:rsidR="00D17C15" w:rsidRPr="00B234F4" w:rsidRDefault="00D17C15" w:rsidP="00D17C15">
      <w:pPr>
        <w:spacing w:before="240" w:after="240" w:line="360" w:lineRule="auto"/>
        <w:jc w:val="both"/>
        <w:rPr>
          <w:rFonts w:ascii="Arial" w:eastAsia="Arial" w:hAnsi="Arial" w:cs="Arial"/>
          <w:sz w:val="24"/>
          <w:szCs w:val="24"/>
        </w:rPr>
      </w:pPr>
      <w:r w:rsidRPr="00C65BB3">
        <w:rPr>
          <w:rFonts w:ascii="Arial" w:eastAsia="Arial" w:hAnsi="Arial" w:cs="Arial"/>
          <w:b/>
          <w:sz w:val="24"/>
          <w:szCs w:val="24"/>
          <w:lang w:val="en-US"/>
        </w:rPr>
        <w:lastRenderedPageBreak/>
        <w:t>Abstract</w:t>
      </w:r>
    </w:p>
    <w:p w14:paraId="078C1BA8" w14:textId="66AB1237" w:rsidR="003137C9" w:rsidRPr="003137C9" w:rsidRDefault="003137C9" w:rsidP="00D93A97">
      <w:pPr>
        <w:spacing w:before="240" w:after="240" w:line="360" w:lineRule="auto"/>
        <w:jc w:val="both"/>
        <w:rPr>
          <w:rFonts w:ascii="Arial" w:eastAsia="Arial" w:hAnsi="Arial" w:cs="Arial"/>
          <w:sz w:val="24"/>
          <w:szCs w:val="24"/>
          <w:lang w:val="en-US"/>
        </w:rPr>
      </w:pPr>
      <w:r w:rsidRPr="003137C9">
        <w:rPr>
          <w:rFonts w:ascii="Arial" w:eastAsia="Arial" w:hAnsi="Arial" w:cs="Arial"/>
          <w:sz w:val="24"/>
          <w:szCs w:val="24"/>
          <w:lang w:val="en-US"/>
        </w:rPr>
        <w:t xml:space="preserve">The ILÊ ÈKÓ Social Pre-Vestibular Project, linked to the Angra dos Reis Education Institute (IEAR) of the Fluminense Federal University (UFF), emerged as the fruit of the struggle of the black movement, UBUNTUFF and </w:t>
      </w:r>
      <w:proofErr w:type="spellStart"/>
      <w:r w:rsidRPr="003137C9">
        <w:rPr>
          <w:rFonts w:ascii="Arial" w:eastAsia="Arial" w:hAnsi="Arial" w:cs="Arial"/>
          <w:sz w:val="24"/>
          <w:szCs w:val="24"/>
          <w:lang w:val="en-US"/>
        </w:rPr>
        <w:t>UNEafro</w:t>
      </w:r>
      <w:proofErr w:type="spellEnd"/>
      <w:r w:rsidRPr="003137C9">
        <w:rPr>
          <w:rFonts w:ascii="Arial" w:eastAsia="Arial" w:hAnsi="Arial" w:cs="Arial"/>
          <w:sz w:val="24"/>
          <w:szCs w:val="24"/>
          <w:lang w:val="en-US"/>
        </w:rPr>
        <w:t xml:space="preserve"> </w:t>
      </w:r>
      <w:proofErr w:type="spellStart"/>
      <w:r w:rsidRPr="003137C9">
        <w:rPr>
          <w:rFonts w:ascii="Arial" w:eastAsia="Arial" w:hAnsi="Arial" w:cs="Arial"/>
          <w:sz w:val="24"/>
          <w:szCs w:val="24"/>
          <w:lang w:val="en-US"/>
        </w:rPr>
        <w:t>Brasil</w:t>
      </w:r>
      <w:proofErr w:type="spellEnd"/>
      <w:r w:rsidRPr="003137C9">
        <w:rPr>
          <w:rFonts w:ascii="Arial" w:eastAsia="Arial" w:hAnsi="Arial" w:cs="Arial"/>
          <w:sz w:val="24"/>
          <w:szCs w:val="24"/>
          <w:lang w:val="en-US"/>
        </w:rPr>
        <w:t xml:space="preserve">. Its central proposal is to offer black students a quality education based on racial equity, providing educational support and preparing them for university entrance exams. Its pedagogical methodology includes the continuous monitoring of students through directed study workshops, exercises and discussion forums, promoting critical and emancipatory teaching. The black movement, as highlighted by </w:t>
      </w:r>
      <w:proofErr w:type="spellStart"/>
      <w:r w:rsidRPr="003137C9">
        <w:rPr>
          <w:rFonts w:ascii="Arial" w:eastAsia="Arial" w:hAnsi="Arial" w:cs="Arial"/>
          <w:sz w:val="24"/>
          <w:szCs w:val="24"/>
          <w:lang w:val="en-US"/>
        </w:rPr>
        <w:t>Nilma</w:t>
      </w:r>
      <w:proofErr w:type="spellEnd"/>
      <w:r w:rsidRPr="003137C9">
        <w:rPr>
          <w:rFonts w:ascii="Arial" w:eastAsia="Arial" w:hAnsi="Arial" w:cs="Arial"/>
          <w:sz w:val="24"/>
          <w:szCs w:val="24"/>
          <w:lang w:val="en-US"/>
        </w:rPr>
        <w:t xml:space="preserve"> Lino Gomes, plays a fundamental role in re-educating society, challenging racist structures and demanding effective public policies to guarantee rights and combat inequalities. The project can be understood as an action that confronts the asymmetries of power present in geographical and social space, given that educational spaces are contested unequally.</w:t>
      </w:r>
      <w:r w:rsidRPr="003137C9">
        <w:rPr>
          <w:lang w:val="en-US"/>
        </w:rPr>
        <w:t xml:space="preserve"> </w:t>
      </w:r>
      <w:r w:rsidRPr="003137C9">
        <w:rPr>
          <w:rFonts w:ascii="Arial" w:eastAsia="Arial" w:hAnsi="Arial" w:cs="Arial"/>
          <w:sz w:val="24"/>
          <w:szCs w:val="24"/>
          <w:lang w:val="en-US"/>
        </w:rPr>
        <w:t>From Milton Santos' perspective, territory is a space of dispute, where relations of domination and resistance are manifested. Thus, the project not only promotes access to education, but also challenges the historically constructed processes of exclusion, which reinforce socio-spatial inequalities. In addition, the initiative acts in the context of territorial citizenship, ensuring that black and peripheral students have the right to occupy academic spaces that have been denied to them. Pre-Vestibular, therefore, represents an instrument of social transformation that questions structural privileges and reaffirms education as a fundamental right.</w:t>
      </w:r>
    </w:p>
    <w:p w14:paraId="7EB62123" w14:textId="77777777" w:rsidR="00D17C15" w:rsidRDefault="00D17C15" w:rsidP="00960A71">
      <w:pPr>
        <w:spacing w:before="240" w:after="240" w:line="240" w:lineRule="auto"/>
        <w:jc w:val="both"/>
        <w:rPr>
          <w:rFonts w:ascii="Arial" w:eastAsia="Arial" w:hAnsi="Arial" w:cs="Arial"/>
          <w:sz w:val="24"/>
          <w:szCs w:val="24"/>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Geography; R</w:t>
      </w:r>
      <w:r w:rsidR="00C71E09">
        <w:rPr>
          <w:rFonts w:ascii="Arial" w:eastAsia="Arial" w:hAnsi="Arial" w:cs="Arial"/>
          <w:sz w:val="24"/>
          <w:szCs w:val="24"/>
          <w:lang w:val="en-US"/>
        </w:rPr>
        <w:t>acism</w:t>
      </w:r>
      <w:r w:rsidRPr="00C65BB3">
        <w:rPr>
          <w:rFonts w:ascii="Arial" w:eastAsia="Arial" w:hAnsi="Arial" w:cs="Arial"/>
          <w:sz w:val="24"/>
          <w:szCs w:val="24"/>
          <w:lang w:val="en-US"/>
        </w:rPr>
        <w:t xml:space="preserve">; </w:t>
      </w:r>
      <w:r w:rsidR="00C71E09">
        <w:rPr>
          <w:rFonts w:ascii="Arial" w:eastAsia="Arial" w:hAnsi="Arial" w:cs="Arial"/>
          <w:sz w:val="24"/>
          <w:szCs w:val="24"/>
          <w:lang w:val="en-US"/>
        </w:rPr>
        <w:t>Education</w:t>
      </w:r>
      <w:r w:rsidRPr="00C65BB3">
        <w:rPr>
          <w:rFonts w:ascii="Arial" w:eastAsia="Arial" w:hAnsi="Arial" w:cs="Arial"/>
          <w:sz w:val="24"/>
          <w:szCs w:val="24"/>
          <w:lang w:val="en-US"/>
        </w:rPr>
        <w:t>.</w:t>
      </w:r>
      <w:r w:rsidR="00000000">
        <w:pict w14:anchorId="639B9671">
          <v:rect id="_x0000_i1026" style="width:0;height:1.5pt" o:hralign="center" o:hrstd="t" o:hr="t" fillcolor="#a0a0a0" stroked="f"/>
        </w:pict>
      </w:r>
    </w:p>
    <w:p w14:paraId="2C223F97" w14:textId="77777777" w:rsidR="00C71E09" w:rsidRDefault="00C71E09" w:rsidP="00D17C15">
      <w:pPr>
        <w:pStyle w:val="Ttulo2"/>
        <w:keepNext w:val="0"/>
        <w:keepLines w:val="0"/>
        <w:jc w:val="both"/>
        <w:rPr>
          <w:rFonts w:ascii="Arial" w:eastAsia="Arial" w:hAnsi="Arial" w:cs="Arial"/>
          <w:sz w:val="24"/>
          <w:szCs w:val="24"/>
        </w:rPr>
      </w:pPr>
      <w:bookmarkStart w:id="0" w:name="_ozfxted4ubl5" w:colFirst="0" w:colLast="0"/>
      <w:bookmarkEnd w:id="0"/>
    </w:p>
    <w:p w14:paraId="38EE51B5" w14:textId="77777777" w:rsidR="00222B90" w:rsidRDefault="00222B90">
      <w:pPr>
        <w:spacing w:before="200" w:after="200" w:line="360" w:lineRule="auto"/>
        <w:jc w:val="both"/>
        <w:rPr>
          <w:rFonts w:ascii="Times New Roman" w:eastAsia="Times New Roman" w:hAnsi="Times New Roman" w:cs="Times New Roman"/>
          <w:sz w:val="24"/>
          <w:szCs w:val="24"/>
        </w:rPr>
      </w:pPr>
    </w:p>
    <w:p w14:paraId="29C15C08" w14:textId="77777777" w:rsidR="00222B90" w:rsidRDefault="00222B90">
      <w:pPr>
        <w:spacing w:before="200" w:after="200" w:line="360" w:lineRule="auto"/>
        <w:jc w:val="both"/>
        <w:rPr>
          <w:rFonts w:ascii="Times New Roman" w:eastAsia="Times New Roman" w:hAnsi="Times New Roman" w:cs="Times New Roman"/>
          <w:sz w:val="24"/>
          <w:szCs w:val="24"/>
        </w:rPr>
      </w:pPr>
    </w:p>
    <w:p w14:paraId="79F4591F" w14:textId="77777777" w:rsidR="00222B90" w:rsidRDefault="00222B90">
      <w:pPr>
        <w:spacing w:before="200" w:after="200" w:line="360" w:lineRule="auto"/>
        <w:jc w:val="both"/>
        <w:rPr>
          <w:rFonts w:ascii="Times New Roman" w:eastAsia="Times New Roman" w:hAnsi="Times New Roman" w:cs="Times New Roman"/>
          <w:sz w:val="24"/>
          <w:szCs w:val="24"/>
        </w:rPr>
      </w:pPr>
    </w:p>
    <w:p w14:paraId="0C496597"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9"/>
      <w:headerReference w:type="default" r:id="rId10"/>
      <w:footerReference w:type="default" r:id="rId11"/>
      <w:headerReference w:type="first" r:id="rId12"/>
      <w:footerReference w:type="first" r:id="rId13"/>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EFFD1" w14:textId="77777777" w:rsidR="004C67E4" w:rsidRDefault="004C67E4">
      <w:pPr>
        <w:spacing w:after="0" w:line="240" w:lineRule="auto"/>
      </w:pPr>
      <w:r>
        <w:separator/>
      </w:r>
    </w:p>
  </w:endnote>
  <w:endnote w:type="continuationSeparator" w:id="0">
    <w:p w14:paraId="6BA3197F" w14:textId="77777777" w:rsidR="004C67E4" w:rsidRDefault="004C67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5AB92" w14:textId="77777777" w:rsidR="00814DA0" w:rsidRDefault="00D17C15">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3C2F6957" wp14:editId="01E906F3">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4ABC2" w14:textId="77777777" w:rsidR="00D732BA" w:rsidRDefault="00D732BA" w:rsidP="00D732BA">
    <w:pPr>
      <w:pStyle w:val="Rodap"/>
      <w:ind w:left="-1701"/>
    </w:pPr>
    <w:r>
      <w:rPr>
        <w:noProof/>
      </w:rPr>
      <w:drawing>
        <wp:inline distT="0" distB="0" distL="0" distR="0" wp14:anchorId="681BB6AF" wp14:editId="0A3C4100">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528BE" w14:textId="77777777" w:rsidR="004C67E4" w:rsidRDefault="004C67E4">
      <w:pPr>
        <w:spacing w:after="0" w:line="240" w:lineRule="auto"/>
      </w:pPr>
      <w:r>
        <w:separator/>
      </w:r>
    </w:p>
  </w:footnote>
  <w:footnote w:type="continuationSeparator" w:id="0">
    <w:p w14:paraId="1AF793FE" w14:textId="77777777" w:rsidR="004C67E4" w:rsidRDefault="004C67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12892758"/>
      <w:docPartObj>
        <w:docPartGallery w:val="Page Numbers (Top of Page)"/>
        <w:docPartUnique/>
      </w:docPartObj>
    </w:sdtPr>
    <w:sdtContent>
      <w:p w14:paraId="1E7370C5" w14:textId="2958E769" w:rsidR="002D77C0" w:rsidRDefault="00000000" w:rsidP="00013E37">
        <w:pPr>
          <w:pStyle w:val="Cabealho"/>
          <w:framePr w:wrap="none" w:vAnchor="text" w:hAnchor="margin" w:xAlign="right" w:y="1"/>
          <w:rPr>
            <w:rStyle w:val="Nmerodepgina"/>
          </w:rPr>
        </w:pPr>
        <w:r>
          <w:rPr>
            <w:noProof/>
          </w:rPr>
          <w:pict w14:anchorId="52B26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1029" type="#_x0000_t75" style="position:absolute;margin-left:0;margin-top:0;width:453.4pt;height:316.35pt;z-index:-251650048;mso-position-horizontal:center;mso-position-horizontal-relative:margin;mso-position-vertical:center;mso-position-vertical-relative:margin" o:allowincell="f">
              <v:imagedata r:id="rId1" o:title="LAPIAS_MAO_isolado" gain="19661f" blacklevel="22938f"/>
              <w10:wrap anchorx="margin" anchory="margin"/>
            </v:shape>
          </w:pict>
        </w:r>
        <w:r w:rsidR="00462D73">
          <w:rPr>
            <w:rStyle w:val="Nmerodepgina"/>
          </w:rPr>
          <w:fldChar w:fldCharType="begin"/>
        </w:r>
        <w:r w:rsidR="002D77C0">
          <w:rPr>
            <w:rStyle w:val="Nmerodepgina"/>
          </w:rPr>
          <w:instrText xml:space="preserve"> PAGE </w:instrText>
        </w:r>
        <w:r w:rsidR="00462D73">
          <w:rPr>
            <w:rStyle w:val="Nmerodepgina"/>
          </w:rPr>
          <w:fldChar w:fldCharType="end"/>
        </w:r>
      </w:p>
    </w:sdtContent>
  </w:sdt>
  <w:p w14:paraId="4DB9FCAC"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101F04DE" w14:textId="21060385" w:rsidR="002D77C0" w:rsidRPr="002D77C0" w:rsidRDefault="00000000"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7EC1C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1030" type="#_x0000_t75" style="position:absolute;margin-left:0;margin-top:0;width:453.4pt;height:316.35pt;z-index:-251649024;mso-position-horizontal:center;mso-position-horizontal-relative:margin;mso-position-vertical:center;mso-position-vertical-relative:margin" o:allowincell="f">
              <v:imagedata r:id="rId1" o:title="LAPIAS_MAO_isolado" gain="19661f" blacklevel="22938f"/>
              <w10:wrap anchorx="margin" anchory="margin"/>
            </v:shape>
          </w:pict>
        </w:r>
        <w:r w:rsidR="00462D73"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00462D73" w:rsidRPr="002D77C0">
          <w:rPr>
            <w:rStyle w:val="Nmerodepgina"/>
            <w:rFonts w:ascii="Times New Roman" w:hAnsi="Times New Roman" w:cs="Times New Roman"/>
            <w:sz w:val="24"/>
            <w:szCs w:val="24"/>
          </w:rPr>
          <w:fldChar w:fldCharType="separate"/>
        </w:r>
        <w:r w:rsidR="00960A71">
          <w:rPr>
            <w:rStyle w:val="Nmerodepgina"/>
            <w:rFonts w:ascii="Times New Roman" w:hAnsi="Times New Roman" w:cs="Times New Roman"/>
            <w:noProof/>
            <w:sz w:val="24"/>
            <w:szCs w:val="24"/>
          </w:rPr>
          <w:t>2</w:t>
        </w:r>
        <w:r w:rsidR="00462D73" w:rsidRPr="002D77C0">
          <w:rPr>
            <w:rStyle w:val="Nmerodepgina"/>
            <w:rFonts w:ascii="Times New Roman" w:hAnsi="Times New Roman" w:cs="Times New Roman"/>
            <w:sz w:val="24"/>
            <w:szCs w:val="24"/>
          </w:rPr>
          <w:fldChar w:fldCharType="end"/>
        </w:r>
      </w:p>
    </w:sdtContent>
  </w:sdt>
  <w:p w14:paraId="110A7605" w14:textId="6CF03A6A" w:rsidR="00814DA0" w:rsidRDefault="00D17C15"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64384" behindDoc="0" locked="0" layoutInCell="1" allowOverlap="1" wp14:anchorId="0805E8ED" wp14:editId="65C58198">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68188" w14:textId="56FDE9FF" w:rsidR="00222B90" w:rsidRDefault="00000000" w:rsidP="006C668C">
    <w:pPr>
      <w:pStyle w:val="Cabealho"/>
    </w:pPr>
    <w:r>
      <w:rPr>
        <w:noProof/>
      </w:rPr>
      <w:pict w14:anchorId="6606A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1028" type="#_x0000_t75" style="position:absolute;margin-left:0;margin-top:0;width:453.4pt;height:316.35pt;z-index:-251651072;mso-position-horizontal:center;mso-position-horizontal-relative:margin;mso-position-vertical:center;mso-position-vertical-relative:margin" o:allowincell="f">
          <v:imagedata r:id="rId1" o:title="LAPIAS_MAO_isolado" gain="19661f" blacklevel="22938f"/>
          <w10:wrap anchorx="margin" anchory="margin"/>
        </v:shape>
      </w:pict>
    </w:r>
    <w:r w:rsidR="00D732BA">
      <w:rPr>
        <w:noProof/>
      </w:rPr>
      <w:drawing>
        <wp:anchor distT="0" distB="0" distL="114300" distR="114300" simplePos="0" relativeHeight="251662336" behindDoc="0" locked="0" layoutInCell="1" allowOverlap="1" wp14:anchorId="63BC51AC" wp14:editId="4A961292">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0659703">
    <w:abstractNumId w:val="1"/>
  </w:num>
  <w:num w:numId="2" w16cid:durableId="1930307717">
    <w:abstractNumId w:val="5"/>
  </w:num>
  <w:num w:numId="3" w16cid:durableId="1978953862">
    <w:abstractNumId w:val="10"/>
  </w:num>
  <w:num w:numId="4" w16cid:durableId="23598085">
    <w:abstractNumId w:val="6"/>
  </w:num>
  <w:num w:numId="5" w16cid:durableId="1053651565">
    <w:abstractNumId w:val="3"/>
  </w:num>
  <w:num w:numId="6" w16cid:durableId="870531823">
    <w:abstractNumId w:val="7"/>
  </w:num>
  <w:num w:numId="7" w16cid:durableId="999503853">
    <w:abstractNumId w:val="11"/>
  </w:num>
  <w:num w:numId="8" w16cid:durableId="1761292881">
    <w:abstractNumId w:val="8"/>
  </w:num>
  <w:num w:numId="9" w16cid:durableId="1725449511">
    <w:abstractNumId w:val="4"/>
  </w:num>
  <w:num w:numId="10" w16cid:durableId="257367916">
    <w:abstractNumId w:val="9"/>
  </w:num>
  <w:num w:numId="11" w16cid:durableId="2123260317">
    <w:abstractNumId w:val="2"/>
  </w:num>
  <w:num w:numId="12" w16cid:durableId="704523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35C33"/>
    <w:rsid w:val="00151EC1"/>
    <w:rsid w:val="00173068"/>
    <w:rsid w:val="00194D8B"/>
    <w:rsid w:val="001F7DBA"/>
    <w:rsid w:val="00222B90"/>
    <w:rsid w:val="002D77C0"/>
    <w:rsid w:val="003137C9"/>
    <w:rsid w:val="00361EC4"/>
    <w:rsid w:val="0038747B"/>
    <w:rsid w:val="00462D73"/>
    <w:rsid w:val="004C67E4"/>
    <w:rsid w:val="004D6F9A"/>
    <w:rsid w:val="0051116C"/>
    <w:rsid w:val="0051538A"/>
    <w:rsid w:val="00535490"/>
    <w:rsid w:val="00547091"/>
    <w:rsid w:val="00584773"/>
    <w:rsid w:val="005D6986"/>
    <w:rsid w:val="0062011C"/>
    <w:rsid w:val="006C668C"/>
    <w:rsid w:val="0072597F"/>
    <w:rsid w:val="00814DA0"/>
    <w:rsid w:val="00841BE9"/>
    <w:rsid w:val="00845E47"/>
    <w:rsid w:val="008D01C0"/>
    <w:rsid w:val="008F1B39"/>
    <w:rsid w:val="009528FD"/>
    <w:rsid w:val="00960A71"/>
    <w:rsid w:val="00A83843"/>
    <w:rsid w:val="00AA0523"/>
    <w:rsid w:val="00B234F4"/>
    <w:rsid w:val="00B70A0C"/>
    <w:rsid w:val="00C21CAE"/>
    <w:rsid w:val="00C71E09"/>
    <w:rsid w:val="00CD2A1C"/>
    <w:rsid w:val="00D17C15"/>
    <w:rsid w:val="00D732BA"/>
    <w:rsid w:val="00D93A97"/>
    <w:rsid w:val="00DA40A2"/>
    <w:rsid w:val="00DC30AC"/>
    <w:rsid w:val="00E0589B"/>
    <w:rsid w:val="00E84C68"/>
    <w:rsid w:val="00E9077A"/>
    <w:rsid w:val="00EA5E3D"/>
    <w:rsid w:val="00EE48FF"/>
    <w:rsid w:val="00EF27BE"/>
    <w:rsid w:val="00F0033D"/>
    <w:rsid w:val="00F6505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DEA45B"/>
  <w15:docId w15:val="{860592D5-F1DF-4BAA-8749-DD2D802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462D73"/>
    <w:tblPr>
      <w:tblCellMar>
        <w:top w:w="0" w:type="dxa"/>
        <w:left w:w="0" w:type="dxa"/>
        <w:bottom w:w="0" w:type="dxa"/>
        <w:right w:w="0" w:type="dxa"/>
      </w:tblCellMar>
    </w:tblPr>
  </w:style>
  <w:style w:type="paragraph" w:styleId="Ttulo">
    <w:name w:val="Title"/>
    <w:basedOn w:val="Normal"/>
    <w:next w:val="Normal"/>
    <w:uiPriority w:val="10"/>
    <w:qFormat/>
    <w:rsid w:val="00462D73"/>
    <w:pPr>
      <w:keepNext/>
      <w:keepLines/>
      <w:spacing w:before="480" w:after="120"/>
    </w:pPr>
    <w:rPr>
      <w:b/>
      <w:sz w:val="72"/>
      <w:szCs w:val="72"/>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462D73"/>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960A7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0A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B9FD1DB4-E307-41FF-8C1F-D384326A8A1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601</Words>
  <Characters>3251</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Anônimo ANM</cp:lastModifiedBy>
  <cp:revision>8</cp:revision>
  <dcterms:created xsi:type="dcterms:W3CDTF">2025-04-05T18:13:00Z</dcterms:created>
  <dcterms:modified xsi:type="dcterms:W3CDTF">2025-04-08T17:59:00Z</dcterms:modified>
</cp:coreProperties>
</file>