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word/_rels/header2.xml.rels" ContentType="application/vnd.openxmlformats-package.relationships+xml"/>
  <Override PartName="/word/_rels/footer1.xml.rels" ContentType="application/vnd.openxmlformats-package.relationships+xml"/>
  <Override PartName="/word/_rels/foot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240" w:after="240"/>
        <w:jc w:val="center"/>
        <w:rPr>
          <w:rFonts w:ascii="Arial" w:hAnsi="Arial"/>
        </w:rPr>
      </w:pPr>
      <w:r>
        <w:rPr>
          <w:rFonts w:eastAsia="Arial" w:cs="Arial" w:ascii="Arial" w:hAnsi="Arial"/>
          <w:b/>
          <w:sz w:val="24"/>
          <w:szCs w:val="24"/>
        </w:rPr>
        <w:t>MODELO SUGERIDO</w:t>
      </w:r>
    </w:p>
    <w:p>
      <w:pPr>
        <w:pStyle w:val="Normal"/>
        <w:spacing w:before="240" w:after="240"/>
        <w:jc w:val="center"/>
        <w:rPr>
          <w:rFonts w:ascii="Arial" w:hAnsi="Arial" w:eastAsia="Arial" w:cs="Arial"/>
          <w:b/>
          <w:b/>
          <w:sz w:val="24"/>
          <w:szCs w:val="24"/>
        </w:rPr>
      </w:pPr>
      <w:r>
        <w:rPr>
          <w:rFonts w:eastAsia="Arial" w:cs="Arial" w:ascii="Arial" w:hAnsi="Arial"/>
          <w:b/>
          <w:sz w:val="24"/>
          <w:szCs w:val="24"/>
        </w:rPr>
      </w:r>
    </w:p>
    <w:p>
      <w:pPr>
        <w:pStyle w:val="Normal"/>
        <w:spacing w:before="240" w:after="240"/>
        <w:jc w:val="both"/>
        <w:rPr>
          <w:rFonts w:ascii="Arial" w:hAnsi="Arial"/>
        </w:rPr>
      </w:pPr>
      <w:r>
        <w:rPr>
          <w:rFonts w:eastAsia="Arial" w:cs="Arial" w:ascii="Arial" w:hAnsi="Arial"/>
          <w:b/>
          <w:sz w:val="24"/>
          <w:szCs w:val="24"/>
        </w:rPr>
        <w:t xml:space="preserve">Título: </w:t>
      </w:r>
      <w:r>
        <w:rPr>
          <w:rFonts w:eastAsia="Arial" w:cs="Arial" w:ascii="Arial" w:hAnsi="Arial"/>
          <w:b w:val="false"/>
          <w:bCs w:val="false"/>
          <w:sz w:val="24"/>
          <w:szCs w:val="24"/>
        </w:rPr>
        <w:t>O Cinema Indígena no Processo de Ensino-Aprendizagem em Geografia.</w:t>
      </w:r>
    </w:p>
    <w:p>
      <w:pPr>
        <w:pStyle w:val="Normal"/>
        <w:spacing w:before="240" w:after="240"/>
        <w:jc w:val="both"/>
        <w:rPr>
          <w:rFonts w:ascii="Arial" w:hAnsi="Arial"/>
        </w:rPr>
      </w:pPr>
      <w:r>
        <w:rPr>
          <w:rFonts w:eastAsia="Arial" w:cs="Arial" w:ascii="Arial" w:hAnsi="Arial"/>
          <w:b/>
          <w:sz w:val="24"/>
          <w:szCs w:val="24"/>
        </w:rPr>
        <w:t xml:space="preserve">Autor: </w:t>
      </w:r>
      <w:r>
        <w:rPr>
          <w:rFonts w:eastAsia="Arial" w:cs="Arial" w:ascii="Arial" w:hAnsi="Arial"/>
          <w:b w:val="false"/>
          <w:bCs w:val="false"/>
          <w:sz w:val="24"/>
          <w:szCs w:val="24"/>
        </w:rPr>
        <w:t>Guilherme Garcia Pereira Pires</w:t>
      </w:r>
      <w:r>
        <w:rPr>
          <w:rFonts w:eastAsia="Arial" w:cs="Arial" w:ascii="Arial" w:hAnsi="Arial"/>
          <w:sz w:val="24"/>
          <w:szCs w:val="24"/>
        </w:rPr>
        <w:t>, Universidade Federal Fluminense - IEAR, garciaguilherme@id.uff.br.</w:t>
      </w:r>
      <w:r>
        <w:rPr>
          <w:rFonts w:eastAsia="Arial" w:cs="Arial" w:ascii="Arial" w:hAnsi="Arial"/>
          <w:sz w:val="24"/>
          <w:szCs w:val="24"/>
        </w:rPr>
        <mc:AlternateContent>
          <mc:Choice Requires="wps">
            <w:drawing>
              <wp:inline distT="0" distB="0" distL="0" distR="0">
                <wp:extent cx="5761990" cy="20955"/>
                <wp:effectExtent l="0" t="0" r="0" b="0"/>
                <wp:docPr id="1" name=""/>
                <a:graphic xmlns:a="http://schemas.openxmlformats.org/drawingml/2006/main">
                  <a:graphicData uri="http://schemas.microsoft.com/office/word/2010/wordprocessingShape">
                    <wps:wsp>
                      <wps:cNvSpPr/>
                      <wps:spPr>
                        <a:xfrm>
                          <a:off x="0" y="0"/>
                          <a:ext cx="5761440" cy="20160"/>
                        </a:xfrm>
                        <a:prstGeom prst="rect">
                          <a:avLst/>
                        </a:prstGeom>
                        <a:solidFill>
                          <a:srgbClr val="a0a0a0"/>
                        </a:solidFill>
                        <a:ln>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style="position:absolute;margin-left:0pt;margin-top:-1.65pt;width:453.6pt;height:1.55pt;mso-position-vertical:top">
                <w10:wrap type="none"/>
                <v:fill o:detectmouseclick="t" type="solid" color2="#5f5f5f"/>
                <v:stroke color="#3465a4" joinstyle="round" endcap="flat"/>
              </v:rect>
            </w:pict>
          </mc:Fallback>
        </mc:AlternateContent>
      </w:r>
      <w:r>
        <w:rPr>
          <w:rFonts w:ascii="Arial" w:hAnsi="Arial"/>
        </w:rPr>
        <w:t xml:space="preserve"> </w:t>
      </w:r>
    </w:p>
    <w:p>
      <w:pPr>
        <w:pStyle w:val="Normal"/>
        <w:spacing w:lineRule="auto" w:line="360" w:before="240" w:after="240"/>
        <w:jc w:val="both"/>
        <w:rPr>
          <w:rFonts w:ascii="Arial" w:hAnsi="Arial"/>
        </w:rPr>
      </w:pPr>
      <w:r>
        <w:rPr>
          <w:rFonts w:eastAsia="Arial" w:cs="Arial" w:ascii="Arial" w:hAnsi="Arial"/>
          <w:b/>
          <w:sz w:val="24"/>
          <w:szCs w:val="24"/>
        </w:rPr>
        <w:t>Resumo</w:t>
      </w:r>
    </w:p>
    <w:p>
      <w:pPr>
        <w:pStyle w:val="Normal"/>
        <w:spacing w:lineRule="auto" w:line="360" w:before="240" w:after="240"/>
        <w:jc w:val="both"/>
        <w:rPr>
          <w:rFonts w:ascii="Arial" w:hAnsi="Arial"/>
          <w:sz w:val="24"/>
          <w:szCs w:val="24"/>
        </w:rPr>
      </w:pPr>
      <w:r>
        <w:rPr>
          <w:rFonts w:eastAsia="Arial" w:cs="Arial" w:ascii="Arial" w:hAnsi="Arial"/>
          <w:b w:val="false"/>
          <w:i w:val="false"/>
          <w:caps w:val="false"/>
          <w:smallCaps w:val="false"/>
          <w:strike w:val="false"/>
          <w:dstrike w:val="false"/>
          <w:color w:val="000000"/>
          <w:sz w:val="24"/>
          <w:szCs w:val="24"/>
          <w:u w:val="none"/>
          <w:effect w:val="none"/>
          <w:lang w:val="en-US"/>
        </w:rPr>
        <w:t>Os povos indígenas vêm sendo alvo de análises éticas e comportamentais desde o início da colonização. No entanto, o olhar eurocêntrico, influenciado pela doutrina católica, qualificou o modo de vida originário como promíscuo e de pouco valor, um ideal cristalizado no imaginário brasileiro até hoje. Com o passar dos anos, a descrição dos costumes indígenas sofreu alterações, reforçando o estereótipo do “bom selvagem” na literatura romântica, até chegar à ruptura de visões racistas a partir do modernismo. Ao longo de 486 anos, a história e os costumes dos povos tradicionais sofreram alterações ao serem contados por não indígenas, uma realidade que começou a mudar com o projeto “Vídeo nas Aldeias” (1986), idealizado por Vincent Carelli, que visa a autonomia dos povos originários de registrar e propagar sua oralidade, permitindo-lhes, pela primeira vez, o domínio de sua própria história. A autoetnografia fílmica indígena nos ajuda a compreender não apenas o modo de vida no campo, mas também a relação do homem com a natureza. Neste trabalho, será analisada a aplicação desse material no processo de ensino-aprendizagem em geografia, tal qual os métodos de acordo com a BNCC.</w:t>
      </w:r>
      <w:r>
        <w:rPr>
          <w:rFonts w:eastAsia="Arial" w:cs="Arial" w:ascii="Arial" w:hAnsi="Arial"/>
          <w:sz w:val="24"/>
          <w:szCs w:val="24"/>
          <w:lang w:val="en-US"/>
        </w:rPr>
        <w:t xml:space="preserve"> </w:t>
      </w:r>
      <w:r>
        <w:rPr>
          <w:rFonts w:eastAsia="Arial" w:cs="Arial" w:ascii="Arial" w:hAnsi="Arial"/>
          <w:sz w:val="24"/>
          <w:szCs w:val="24"/>
        </w:rPr>
        <w:t xml:space="preserve"> </w:t>
      </w:r>
    </w:p>
    <w:p>
      <w:pPr>
        <w:pStyle w:val="Normal"/>
        <w:spacing w:lineRule="auto" w:line="360" w:before="240" w:after="240"/>
        <w:jc w:val="both"/>
        <w:rPr>
          <w:rFonts w:ascii="Arial" w:hAnsi="Arial"/>
          <w:sz w:val="24"/>
          <w:szCs w:val="24"/>
        </w:rPr>
      </w:pPr>
      <w:r>
        <w:rPr>
          <w:rFonts w:eastAsia="Arial" w:cs="Arial" w:ascii="Arial" w:hAnsi="Arial"/>
          <w:b/>
          <w:sz w:val="24"/>
          <w:szCs w:val="24"/>
        </w:rPr>
        <w:t>Palavras-chave:</w:t>
      </w:r>
      <w:r>
        <w:rPr>
          <w:rFonts w:eastAsia="Arial" w:cs="Arial" w:ascii="Arial" w:hAnsi="Arial"/>
          <w:sz w:val="24"/>
          <w:szCs w:val="24"/>
        </w:rPr>
        <w:t xml:space="preserve"> </w:t>
      </w:r>
      <w:bookmarkStart w:id="0" w:name="__DdeLink__243_1577968885"/>
      <w:r>
        <w:rPr>
          <w:rFonts w:eastAsia="Arial" w:cs="Arial" w:ascii="Arial" w:hAnsi="Arial"/>
          <w:sz w:val="24"/>
          <w:szCs w:val="24"/>
        </w:rPr>
        <w:t>Geografia; Cultura indígena; Educação antirracista; Recurso didático.</w:t>
      </w:r>
      <w:bookmarkEnd w:id="0"/>
    </w:p>
    <w:p>
      <w:pPr>
        <w:pStyle w:val="Normal"/>
        <w:spacing w:lineRule="auto" w:line="360" w:before="240" w:after="240"/>
        <w:jc w:val="both"/>
        <w:rPr>
          <w:rFonts w:ascii="Arial" w:hAnsi="Arial"/>
          <w:sz w:val="24"/>
          <w:szCs w:val="24"/>
        </w:rPr>
      </w:pPr>
      <w:r>
        <w:rPr>
          <w:rFonts w:eastAsia="Arial" w:cs="Arial" w:ascii="Arial" w:hAnsi="Arial"/>
          <w:b/>
          <w:sz w:val="24"/>
          <w:szCs w:val="24"/>
          <w:lang w:val="en-US"/>
        </w:rPr>
        <w:t>Abstract</w:t>
      </w:r>
    </w:p>
    <w:p>
      <w:pPr>
        <w:pStyle w:val="Corpodotexto"/>
        <w:spacing w:lineRule="auto" w:line="360" w:before="240" w:after="240"/>
        <w:jc w:val="both"/>
        <w:rPr>
          <w:rFonts w:ascii="Arial" w:hAnsi="Arial"/>
          <w:sz w:val="24"/>
          <w:szCs w:val="24"/>
        </w:rPr>
      </w:pPr>
      <w:bookmarkStart w:id="1" w:name="docs-internal-guid-0d48c7bd-7fff-4cd8-89"/>
      <w:bookmarkEnd w:id="1"/>
      <w:r>
        <w:rPr>
          <w:rFonts w:eastAsia="Arial" w:cs="Arial" w:ascii="Arial" w:hAnsi="Arial"/>
          <w:b w:val="false"/>
          <w:i w:val="false"/>
          <w:caps w:val="false"/>
          <w:smallCaps w:val="false"/>
          <w:strike w:val="false"/>
          <w:dstrike w:val="false"/>
          <w:color w:val="000000"/>
          <w:sz w:val="24"/>
          <w:szCs w:val="24"/>
          <w:u w:val="none"/>
          <w:effect w:val="none"/>
          <w:lang w:val="en-US"/>
        </w:rPr>
        <w:t>Indigenous peoples have been the subject of ethical and behavioral analyses since the beginning of colonization. However, the Eurocentric perspective, influenced by Catholic doctrine, characterized the original way of life as promiscuous and of little value, an ideal that has been crystallized in the Brazilian imagination to this day. Over the years, the description of Indigenous customs has undergone changes, reinforcing the stereotype of the 'noble savage' in romantic literature, until reaching a break from racist views starting with modernism. Over 486 years, the history and customs of traditional peoples have been altered as they were told by non-Indigenous people, a reality that began to change with the 'Vídeo nas Aldeias' (Video in the Villages) project (1986), conceived by Vincent Carelli, which aims for the autonomy of Indigenous peoples to record and propagate their oral traditions, allowing them, for the first time, to have control over their own history. Indigenous filmic autoethnography helps us understand not only the way of life in the countryside but also the relationship between humans and nature. In this work, the application of this material in the study and teaching of geography will be analyzed, applied in the teaching-learning process, according to the BNCC.</w:t>
      </w:r>
    </w:p>
    <w:p>
      <w:pPr>
        <w:pStyle w:val="Normal"/>
        <w:spacing w:lineRule="auto" w:line="360" w:before="240" w:after="240"/>
        <w:jc w:val="both"/>
        <w:rPr>
          <w:rFonts w:ascii="Arial" w:hAnsi="Arial"/>
          <w:sz w:val="24"/>
          <w:szCs w:val="24"/>
        </w:rPr>
      </w:pPr>
      <w:r>
        <w:rPr>
          <w:rFonts w:eastAsia="Arial" w:cs="Arial" w:ascii="Arial" w:hAnsi="Arial"/>
          <w:sz w:val="24"/>
          <w:szCs w:val="24"/>
          <w:lang w:val="en-US"/>
        </w:rPr>
        <w:t xml:space="preserve">. </w:t>
      </w:r>
    </w:p>
    <w:p>
      <w:pPr>
        <w:pStyle w:val="Normal"/>
        <w:spacing w:lineRule="auto" w:line="360" w:before="240" w:after="240"/>
        <w:jc w:val="both"/>
        <w:rPr>
          <w:rFonts w:ascii="Arial" w:hAnsi="Arial"/>
          <w:sz w:val="24"/>
          <w:szCs w:val="24"/>
        </w:rPr>
      </w:pPr>
      <w:r>
        <w:rPr>
          <w:rFonts w:eastAsia="Arial" w:cs="Arial" w:ascii="Arial" w:hAnsi="Arial"/>
          <w:b/>
          <w:sz w:val="24"/>
          <w:szCs w:val="24"/>
          <w:lang w:val="en-US"/>
        </w:rPr>
        <w:t>Keywords:</w:t>
      </w:r>
      <w:r>
        <w:rPr>
          <w:rFonts w:eastAsia="Arial" w:cs="Arial" w:ascii="Arial" w:hAnsi="Arial"/>
          <w:sz w:val="24"/>
          <w:szCs w:val="24"/>
          <w:lang w:val="en-US"/>
        </w:rPr>
        <w:t xml:space="preserve"> Geography; Indigenous culture; Anti-racist education; Teaching resource.</w:t>
      </w:r>
    </w:p>
    <w:p>
      <w:pPr>
        <w:pStyle w:val="Normal"/>
        <w:spacing w:before="240" w:after="240"/>
        <w:jc w:val="both"/>
        <w:rPr>
          <w:rFonts w:ascii="Arial" w:hAnsi="Arial"/>
        </w:rPr>
      </w:pPr>
      <w:r>
        <w:rPr/>
        <mc:AlternateContent>
          <mc:Choice Requires="wps">
            <w:drawing>
              <wp:inline distT="0" distB="0" distL="0" distR="0">
                <wp:extent cx="5761990" cy="20955"/>
                <wp:effectExtent l="0" t="0" r="0" b="0"/>
                <wp:docPr id="2" name=""/>
                <a:graphic xmlns:a="http://schemas.openxmlformats.org/drawingml/2006/main">
                  <a:graphicData uri="http://schemas.microsoft.com/office/word/2010/wordprocessingShape">
                    <wps:wsp>
                      <wps:cNvSpPr/>
                      <wps:spPr>
                        <a:xfrm>
                          <a:off x="0" y="0"/>
                          <a:ext cx="5761440" cy="20160"/>
                        </a:xfrm>
                        <a:prstGeom prst="rect">
                          <a:avLst/>
                        </a:prstGeom>
                        <a:solidFill>
                          <a:srgbClr val="a0a0a0"/>
                        </a:solidFill>
                        <a:ln>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style="position:absolute;margin-left:0pt;margin-top:-1.65pt;width:453.6pt;height:1.55pt;mso-position-vertical:top">
                <w10:wrap type="none"/>
                <v:fill o:detectmouseclick="t" type="solid" color2="#5f5f5f"/>
                <v:stroke color="#3465a4" joinstyle="round" endcap="flat"/>
              </v:rect>
            </w:pict>
          </mc:Fallback>
        </mc:AlternateContent>
      </w:r>
    </w:p>
    <w:p>
      <w:pPr>
        <w:pStyle w:val="Ttulo2"/>
        <w:keepNext w:val="false"/>
        <w:keepLines w:val="false"/>
        <w:jc w:val="both"/>
        <w:rPr>
          <w:rFonts w:ascii="Arial" w:hAnsi="Arial"/>
        </w:rPr>
      </w:pPr>
      <w:bookmarkStart w:id="2" w:name="_ozfxted4ubl5"/>
      <w:bookmarkEnd w:id="2"/>
      <w:r>
        <w:rPr>
          <w:rFonts w:eastAsia="Arial" w:cs="Arial" w:ascii="Arial" w:hAnsi="Arial"/>
          <w:sz w:val="24"/>
          <w:szCs w:val="24"/>
        </w:rPr>
        <w:t>1. Introdução</w:t>
      </w:r>
    </w:p>
    <w:p>
      <w:pPr>
        <w:pStyle w:val="Corpodotexto"/>
        <w:spacing w:lineRule="auto" w:line="360" w:before="240" w:after="240"/>
        <w:ind w:firstLine="720"/>
        <w:jc w:val="both"/>
        <w:rPr>
          <w:rFonts w:ascii="Times New Roman;serif" w:hAnsi="Times New Roman;serif"/>
          <w:b w:val="false"/>
          <w:i w:val="false"/>
          <w:caps w:val="false"/>
          <w:smallCaps w:val="false"/>
          <w:strike w:val="false"/>
          <w:dstrike w:val="false"/>
          <w:color w:val="000000"/>
          <w:sz w:val="22"/>
          <w:u w:val="none"/>
          <w:effect w:val="none"/>
        </w:rPr>
      </w:pPr>
      <w:bookmarkStart w:id="3" w:name="docs-internal-guid-377c373c-7fff-4abe-37"/>
      <w:bookmarkEnd w:id="3"/>
      <w:r>
        <w:rPr>
          <w:rFonts w:eastAsia="Arial" w:cs="Arial" w:ascii="Arial" w:hAnsi="Arial"/>
          <w:b w:val="false"/>
          <w:i w:val="false"/>
          <w:caps w:val="false"/>
          <w:smallCaps w:val="false"/>
          <w:strike w:val="false"/>
          <w:dstrike w:val="false"/>
          <w:color w:val="000000"/>
          <w:sz w:val="24"/>
          <w:szCs w:val="24"/>
          <w:u w:val="none"/>
          <w:effect w:val="none"/>
        </w:rPr>
        <w:t>O surgimento do cinema, em 1895, com os irmãos Lumière, revolucionou a maneira de registrar o cotidiano na França do final do século XIX. Inicialmente, documentando operários franceses, o curta-metragem Sortie de l’usine Lumière à Lyon (Empregados deixando a Fábrica Lumière) introduziu uma nova linguagem para a historiografia mundial. No entanto, com o passar dos anos, a difusão das imagens em movimento despertou o ceticismo de alguns historiadores positivistas quanto à confiabilidade desses registros como documentos, uma vez que poderiam ser facilmente alvo de distorções.</w:t>
      </w:r>
    </w:p>
    <w:p>
      <w:pPr>
        <w:pStyle w:val="Corpodotexto"/>
        <w:bidi w:val="0"/>
        <w:spacing w:lineRule="auto" w:line="429" w:before="240" w:after="240"/>
        <w:ind w:left="0" w:right="0" w:firstLine="720"/>
        <w:jc w:val="both"/>
        <w:rPr>
          <w:rFonts w:ascii="Arial" w:hAnsi="Arial"/>
          <w:b w:val="false"/>
          <w:i w:val="false"/>
          <w:caps w:val="false"/>
          <w:smallCaps w:val="false"/>
          <w:strike w:val="false"/>
          <w:dstrike w:val="false"/>
          <w:color w:val="000000"/>
          <w:sz w:val="24"/>
          <w:szCs w:val="24"/>
          <w:u w:val="none"/>
          <w:effect w:val="none"/>
        </w:rPr>
      </w:pPr>
      <w:r>
        <w:rPr>
          <w:rFonts w:ascii="Arial" w:hAnsi="Arial"/>
          <w:b w:val="false"/>
          <w:i w:val="false"/>
          <w:caps w:val="false"/>
          <w:smallCaps w:val="false"/>
          <w:strike w:val="false"/>
          <w:dstrike w:val="false"/>
          <w:color w:val="000000"/>
          <w:sz w:val="24"/>
          <w:szCs w:val="24"/>
          <w:u w:val="none"/>
          <w:effect w:val="none"/>
        </w:rPr>
        <w:t>Embora o cinema tenha surgido como uma nova forma de registrar a realidade, sofreu alterações consideráveis ao longo dos anos, transcendendo o papel denotativo e, muitas vezes, distorcendo a história e determinadas culturas, ou tratando-as de forma descompromissada, com o objetivo principal de entreter. Essa tendência decorre do fenômeno da cultura de massa, tema amplamente debatido pelo filósofo Theodor Adorno, que considerou o cinema uma ferramenta política, educacional e de propaganda, além de um instrumento de manipulação e controle por parte da classe hegemônica.</w:t>
      </w:r>
    </w:p>
    <w:p>
      <w:pPr>
        <w:pStyle w:val="Corpodotexto"/>
        <w:bidi w:val="0"/>
        <w:spacing w:lineRule="auto" w:line="429" w:before="240" w:after="240"/>
        <w:ind w:left="0" w:right="0" w:firstLine="720"/>
        <w:jc w:val="both"/>
        <w:rPr>
          <w:rFonts w:ascii="Arial" w:hAnsi="Arial"/>
          <w:b w:val="false"/>
          <w:i w:val="false"/>
          <w:caps w:val="false"/>
          <w:smallCaps w:val="false"/>
          <w:strike w:val="false"/>
          <w:dstrike w:val="false"/>
          <w:color w:val="000000"/>
          <w:sz w:val="24"/>
          <w:szCs w:val="24"/>
          <w:u w:val="none"/>
          <w:effect w:val="none"/>
        </w:rPr>
      </w:pPr>
      <w:r>
        <w:rPr>
          <w:rFonts w:ascii="Arial" w:hAnsi="Arial"/>
          <w:b w:val="false"/>
          <w:i w:val="false"/>
          <w:caps w:val="false"/>
          <w:smallCaps w:val="false"/>
          <w:strike w:val="false"/>
          <w:dstrike w:val="false"/>
          <w:color w:val="000000"/>
          <w:sz w:val="24"/>
          <w:szCs w:val="24"/>
          <w:u w:val="none"/>
          <w:effect w:val="none"/>
        </w:rPr>
        <w:t>Tendo isso em vista, o racismo foi uma das estruturas apoiadas pelo cinema ao longo da história, uma vez que este servia, principalmente, para justificar a exploração racial no capitalismo. Com o passar do tempo, as mudanças sociais fizeram com que o racismo no cinema assumisse novas formas e, de certo modo, fosse mitigado, embora não extinto.</w:t>
      </w:r>
    </w:p>
    <w:p>
      <w:pPr>
        <w:pStyle w:val="Corpodotexto"/>
        <w:bidi w:val="0"/>
        <w:spacing w:lineRule="auto" w:line="429" w:before="240" w:after="240"/>
        <w:ind w:left="0" w:right="0" w:firstLine="720"/>
        <w:jc w:val="both"/>
        <w:rPr>
          <w:rFonts w:ascii="Arial" w:hAnsi="Arial"/>
          <w:b w:val="false"/>
          <w:i w:val="false"/>
          <w:caps w:val="false"/>
          <w:smallCaps w:val="false"/>
          <w:strike w:val="false"/>
          <w:dstrike w:val="false"/>
          <w:color w:val="000000"/>
          <w:sz w:val="24"/>
          <w:szCs w:val="24"/>
          <w:u w:val="none"/>
          <w:effect w:val="none"/>
        </w:rPr>
      </w:pPr>
      <w:r>
        <w:rPr>
          <w:rFonts w:ascii="Arial" w:hAnsi="Arial"/>
          <w:b w:val="false"/>
          <w:i w:val="false"/>
          <w:caps w:val="false"/>
          <w:smallCaps w:val="false"/>
          <w:strike w:val="false"/>
          <w:dstrike w:val="false"/>
          <w:color w:val="000000"/>
          <w:sz w:val="24"/>
          <w:szCs w:val="24"/>
          <w:u w:val="none"/>
          <w:effect w:val="none"/>
        </w:rPr>
        <w:t>O resquício estrutural do racismo no cinema varia de acordo com o contexto de cada sociedade e, na realidade brasileira, afeta também os povos indígenas. No cinema brasileiro, a representação desses povos ainda é marcada pela herança colonial e um olhar generalista. Mesmo a melhor das tentativas indigenistas de contar a história desses desses povos, falha ao evidenciar a diversidade étnica e as culturas de cada povo, ficando presos nas amarras do “índio genérico”, do “bom selvagem”, ou simplesmente negligenciando as marcas que a colonização portuguesa deixou.</w:t>
      </w:r>
    </w:p>
    <w:p>
      <w:pPr>
        <w:pStyle w:val="Corpodotexto"/>
        <w:bidi w:val="0"/>
        <w:spacing w:lineRule="auto" w:line="429" w:before="240" w:after="240"/>
        <w:ind w:left="0" w:right="0" w:firstLine="720"/>
        <w:jc w:val="both"/>
        <w:rPr>
          <w:rFonts w:ascii="Arial" w:hAnsi="Arial"/>
          <w:sz w:val="24"/>
          <w:szCs w:val="24"/>
        </w:rPr>
      </w:pPr>
      <w:r>
        <w:rPr>
          <w:rFonts w:ascii="Arial" w:hAnsi="Arial"/>
          <w:b w:val="false"/>
          <w:i w:val="false"/>
          <w:caps w:val="false"/>
          <w:smallCaps w:val="false"/>
          <w:strike w:val="false"/>
          <w:dstrike w:val="false"/>
          <w:color w:val="000000"/>
          <w:sz w:val="24"/>
          <w:szCs w:val="24"/>
          <w:u w:val="none"/>
          <w:effect w:val="none"/>
        </w:rPr>
        <w:t>Desse modo, o presente trabalho busca compreender de que forma a utilização do cinema indígena em sala de aula pode contribuir para a luta antirracista, para a valorização da cultura originária e para a educação do campo, bem como suas contribuições para o aprendizado de habilidades e competências relacionadas aos conceitos geográficos, desenvolvidas desde o Ensino Fundamental II até o Ensino Médio, como a compreensão do espaço, suas transformações e a relação entre sociedade e natureza.</w:t>
      </w:r>
    </w:p>
    <w:p>
      <w:pPr>
        <w:pStyle w:val="Ttulo2"/>
        <w:keepNext w:val="false"/>
        <w:keepLines w:val="false"/>
        <w:jc w:val="both"/>
        <w:rPr/>
      </w:pPr>
      <w:bookmarkStart w:id="4" w:name="_pcn4zwrzdkyd"/>
      <w:bookmarkEnd w:id="4"/>
      <w:r>
        <w:rPr>
          <w:rFonts w:eastAsia="Arial" w:cs="Arial" w:ascii="Arial" w:hAnsi="Arial"/>
          <w:sz w:val="24"/>
          <w:szCs w:val="24"/>
        </w:rPr>
        <w:t>2. Metodologia</w:t>
      </w:r>
    </w:p>
    <w:p>
      <w:pPr>
        <w:pStyle w:val="Normal"/>
        <w:spacing w:lineRule="auto" w:line="360" w:before="240" w:after="240"/>
        <w:ind w:firstLine="720"/>
        <w:jc w:val="both"/>
        <w:rPr/>
      </w:pPr>
      <w:r>
        <w:rPr>
          <w:rFonts w:eastAsia="Arial" w:cs="Arial" w:ascii="Arial" w:hAnsi="Arial"/>
          <w:sz w:val="24"/>
          <w:szCs w:val="24"/>
        </w:rPr>
        <w:t xml:space="preserve">Tendo em vista o objetivo geral da pesquisa, como metodologia </w:t>
      </w:r>
      <w:r>
        <w:rPr>
          <w:rFonts w:eastAsia="Arial" w:cs="Arial" w:ascii="Arial" w:hAnsi="Arial"/>
          <w:sz w:val="24"/>
          <w:szCs w:val="24"/>
        </w:rPr>
        <w:t>foi</w:t>
      </w:r>
      <w:r>
        <w:rPr>
          <w:rFonts w:eastAsia="Arial" w:cs="Arial" w:ascii="Arial" w:hAnsi="Arial"/>
          <w:sz w:val="24"/>
          <w:szCs w:val="24"/>
        </w:rPr>
        <w:t xml:space="preserve"> empregad</w:t>
      </w:r>
      <w:r>
        <w:rPr>
          <w:rFonts w:eastAsia="Arial" w:cs="Arial" w:ascii="Arial" w:hAnsi="Arial"/>
          <w:sz w:val="24"/>
          <w:szCs w:val="24"/>
        </w:rPr>
        <w:t>o</w:t>
      </w:r>
      <w:r>
        <w:rPr>
          <w:rFonts w:eastAsia="Arial" w:cs="Arial" w:ascii="Arial" w:hAnsi="Arial"/>
          <w:sz w:val="24"/>
          <w:szCs w:val="24"/>
        </w:rPr>
        <w:t xml:space="preserve"> o método de pesquisa bibliográfica, </w:t>
      </w:r>
      <w:r>
        <w:rPr>
          <w:rFonts w:eastAsia="Arial" w:cs="Arial" w:ascii="Arial" w:hAnsi="Arial"/>
          <w:sz w:val="24"/>
          <w:szCs w:val="24"/>
        </w:rPr>
        <w:t>pesquisa documental, aplicação deste material em aula e observação direta da interação dos estudantes com o trabalho,</w:t>
      </w:r>
    </w:p>
    <w:p>
      <w:pPr>
        <w:pStyle w:val="Normal"/>
        <w:spacing w:lineRule="auto" w:line="360" w:before="240" w:after="240"/>
        <w:ind w:firstLine="720"/>
        <w:jc w:val="both"/>
        <w:rPr/>
      </w:pPr>
      <w:r>
        <w:rPr>
          <w:rFonts w:eastAsia="Arial" w:cs="Arial" w:ascii="Arial" w:hAnsi="Arial"/>
          <w:sz w:val="24"/>
          <w:szCs w:val="24"/>
        </w:rPr>
        <w:t xml:space="preserve">A pesquisa bibliográfica, realizada </w:t>
      </w:r>
      <w:r>
        <w:rPr>
          <w:rFonts w:eastAsia="Arial" w:cs="Arial" w:ascii="Arial" w:hAnsi="Arial"/>
          <w:sz w:val="24"/>
          <w:szCs w:val="24"/>
        </w:rPr>
        <w:t xml:space="preserve">através de uma base de dados on-line como o </w:t>
      </w:r>
      <w:r>
        <w:rPr>
          <w:rFonts w:eastAsia="Arial" w:cs="Arial" w:ascii="Arial" w:hAnsi="Arial"/>
          <w:i/>
          <w:iCs/>
          <w:sz w:val="24"/>
          <w:szCs w:val="24"/>
        </w:rPr>
        <w:t>Google Scholar Governo Nacional, UNESCO,</w:t>
      </w:r>
      <w:r>
        <w:rPr>
          <w:rFonts w:eastAsia="Arial" w:cs="Arial" w:ascii="Arial" w:hAnsi="Arial"/>
          <w:i w:val="false"/>
          <w:iCs w:val="false"/>
          <w:sz w:val="24"/>
          <w:szCs w:val="24"/>
        </w:rPr>
        <w:t xml:space="preserve"> </w:t>
      </w:r>
      <w:r>
        <w:rPr>
          <w:rFonts w:eastAsia="Arial" w:cs="Arial" w:ascii="Arial" w:hAnsi="Arial"/>
          <w:i/>
          <w:iCs/>
          <w:sz w:val="24"/>
          <w:szCs w:val="24"/>
        </w:rPr>
        <w:t>Scientific Electronic Library Online – Scielo</w:t>
      </w:r>
      <w:r>
        <w:rPr>
          <w:rFonts w:eastAsia="Arial" w:cs="Arial" w:ascii="Arial" w:hAnsi="Arial"/>
          <w:i w:val="false"/>
          <w:iCs w:val="false"/>
          <w:sz w:val="24"/>
          <w:szCs w:val="24"/>
        </w:rPr>
        <w:t xml:space="preserve">, </w:t>
      </w:r>
      <w:r>
        <w:rPr>
          <w:rFonts w:eastAsia="Arial" w:cs="Arial" w:ascii="Arial" w:hAnsi="Arial"/>
          <w:sz w:val="24"/>
          <w:szCs w:val="24"/>
        </w:rPr>
        <w:t>foi feita com a finalidade</w:t>
      </w:r>
      <w:r>
        <w:rPr>
          <w:rFonts w:eastAsia="Arial" w:cs="Arial" w:ascii="Arial" w:hAnsi="Arial"/>
          <w:sz w:val="24"/>
          <w:szCs w:val="24"/>
        </w:rPr>
        <w:t xml:space="preserve"> de abordar</w:t>
      </w:r>
      <w:r>
        <w:rPr>
          <w:rFonts w:eastAsia="Arial" w:cs="Arial" w:ascii="Arial" w:hAnsi="Arial"/>
          <w:sz w:val="24"/>
          <w:szCs w:val="24"/>
        </w:rPr>
        <w:t xml:space="preserve"> a produção e utilização do cinema indígena, tanto pela subjetividade da cultura oral desses povos, quanto pela riqueza agregada neste material.  </w:t>
      </w:r>
    </w:p>
    <w:p>
      <w:pPr>
        <w:pStyle w:val="Normal"/>
        <w:spacing w:lineRule="auto" w:line="360" w:before="240" w:after="240"/>
        <w:ind w:firstLine="720"/>
        <w:jc w:val="both"/>
        <w:rPr/>
      </w:pPr>
      <w:r>
        <w:rPr>
          <w:rFonts w:eastAsia="Arial" w:cs="Arial" w:ascii="Arial" w:hAnsi="Arial"/>
          <w:sz w:val="24"/>
          <w:szCs w:val="24"/>
        </w:rPr>
        <w:t xml:space="preserve">Deste modo, realizou-se o levantamento de autores e suas respectivas obras, apresentadas na bibliografia sendo os temas constituintes: </w:t>
      </w:r>
      <w:r>
        <w:rPr>
          <w:rFonts w:eastAsia="Arial" w:cs="Arial" w:ascii="Arial" w:hAnsi="Arial"/>
          <w:sz w:val="24"/>
          <w:szCs w:val="24"/>
        </w:rPr>
        <w:t>Cultura Indígena, Geografia Cultural, Cinema Indígena, História do Cinema, Pedagogias Complementares, Recursos Didático.</w:t>
      </w:r>
    </w:p>
    <w:p>
      <w:pPr>
        <w:pStyle w:val="Normal"/>
        <w:spacing w:lineRule="auto" w:line="360" w:before="240" w:after="240"/>
        <w:ind w:firstLine="720"/>
        <w:jc w:val="both"/>
        <w:rPr/>
      </w:pPr>
      <w:r>
        <w:rPr>
          <w:rFonts w:eastAsia="Arial" w:cs="Arial" w:ascii="Arial" w:hAnsi="Arial"/>
          <w:sz w:val="24"/>
          <w:szCs w:val="24"/>
        </w:rPr>
        <w:t>Quanto ao método, adotou-se o qualitativo, que segundo Minayo (2009) é  “uma forma de compreender a realidade social e a vida humana de forma mais aprofundada, focando nos significados e nas experiências individuais”</w:t>
      </w:r>
    </w:p>
    <w:p>
      <w:pPr>
        <w:pStyle w:val="Normal"/>
        <w:spacing w:lineRule="auto" w:line="360" w:before="240" w:after="240"/>
        <w:ind w:firstLine="720"/>
        <w:jc w:val="both"/>
        <w:rPr/>
      </w:pPr>
      <w:r>
        <w:rPr>
          <w:rFonts w:eastAsia="Arial" w:cs="Arial" w:ascii="Arial" w:hAnsi="Arial"/>
          <w:sz w:val="24"/>
          <w:szCs w:val="24"/>
        </w:rPr>
        <w:t xml:space="preserve">No que diz respeito às pesquisas documentais, foram analisados principalmente acervos históricos da filmografia indígena, </w:t>
      </w:r>
      <w:r>
        <w:rPr>
          <w:rFonts w:eastAsia="Arial" w:cs="Arial" w:ascii="Arial" w:hAnsi="Arial"/>
          <w:sz w:val="24"/>
          <w:szCs w:val="24"/>
        </w:rPr>
        <w:t>disponibilizados através de mostras culturais do Centro Cultural Banco do Brasil (CCBB)</w:t>
      </w:r>
      <w:r>
        <w:rPr>
          <w:rFonts w:eastAsia="Arial" w:cs="Arial" w:ascii="Arial" w:hAnsi="Arial"/>
          <w:sz w:val="24"/>
          <w:szCs w:val="24"/>
        </w:rPr>
        <w:t xml:space="preserve">. </w:t>
      </w:r>
      <w:r>
        <w:rPr>
          <w:rFonts w:eastAsia="Arial" w:cs="Arial" w:ascii="Arial" w:hAnsi="Arial"/>
          <w:sz w:val="24"/>
          <w:szCs w:val="24"/>
        </w:rPr>
        <w:t>Museu de Culturas Indígenas e Projeto Vídeo Nas Aldeias.</w:t>
      </w:r>
    </w:p>
    <w:p>
      <w:pPr>
        <w:pStyle w:val="Ttulo2"/>
        <w:keepNext w:val="false"/>
        <w:keepLines w:val="false"/>
        <w:jc w:val="both"/>
        <w:rPr/>
      </w:pPr>
      <w:bookmarkStart w:id="5" w:name="_c1wrm1ysj9z6"/>
      <w:bookmarkEnd w:id="5"/>
      <w:r>
        <w:rPr>
          <w:rFonts w:eastAsia="Arial" w:cs="Arial" w:ascii="Arial" w:hAnsi="Arial"/>
          <w:sz w:val="24"/>
          <w:szCs w:val="24"/>
        </w:rPr>
        <w:t>3. Resultados e Discussão</w:t>
      </w:r>
    </w:p>
    <w:p>
      <w:pPr>
        <w:pStyle w:val="Normal"/>
        <w:numPr>
          <w:ilvl w:val="0"/>
          <w:numId w:val="0"/>
        </w:numPr>
        <w:spacing w:lineRule="auto" w:line="276" w:before="0" w:after="0"/>
        <w:ind w:left="1440" w:hanging="0"/>
        <w:jc w:val="both"/>
        <w:rPr>
          <w:rFonts w:ascii="Arial" w:hAnsi="Arial" w:eastAsia="Arial" w:cs="Arial"/>
          <w:sz w:val="24"/>
          <w:szCs w:val="24"/>
        </w:rPr>
      </w:pPr>
      <w:r>
        <w:rPr/>
      </w:r>
    </w:p>
    <w:p>
      <w:pPr>
        <w:pStyle w:val="Normal"/>
        <w:spacing w:lineRule="auto" w:line="276" w:before="0" w:after="0"/>
        <w:jc w:val="both"/>
        <w:rPr/>
      </w:pPr>
      <w:r>
        <w:rPr>
          <w:rFonts w:eastAsia="Arial" w:cs="Arial" w:ascii="Arial" w:hAnsi="Arial"/>
          <w:sz w:val="24"/>
          <w:szCs w:val="24"/>
        </w:rPr>
        <w:tab/>
        <w:t>A cerne do trabalho parte do Artigo 215 da constituição, no qual o Estado garante: “o pleno exercício dos direitos culturais e acesso às fontes da cultura nacional […]  proteger as manifestações das culturas populares, indígenas e afro-brasileiras, e das de outros grupos participantes do processo civilizatório nacional”, no qual age ao lado da educação pública, através da Base Nacional Comum Curricular, que reconhece a importância de conhecer a cultura indígena, suas peculiaridades, história e interação com outras culturas, mas também destaca a necessidade de combater estereótipos e preconceitos sobre esses povos.</w:t>
      </w:r>
    </w:p>
    <w:p>
      <w:pPr>
        <w:pStyle w:val="Normal"/>
        <w:spacing w:lineRule="auto" w:line="276" w:before="0" w:after="0"/>
        <w:jc w:val="both"/>
        <w:rPr/>
      </w:pPr>
      <w:r>
        <w:rPr>
          <w:rFonts w:eastAsia="Arial" w:cs="Arial" w:ascii="Arial" w:hAnsi="Arial"/>
          <w:sz w:val="24"/>
          <w:szCs w:val="24"/>
        </w:rPr>
        <w:tab/>
      </w:r>
    </w:p>
    <w:p>
      <w:pPr>
        <w:pStyle w:val="Normal"/>
        <w:spacing w:lineRule="auto" w:line="276" w:before="0" w:after="0"/>
        <w:jc w:val="both"/>
        <w:rPr/>
      </w:pPr>
      <w:r>
        <w:rPr>
          <w:rFonts w:eastAsia="Arial" w:cs="Arial" w:ascii="Arial" w:hAnsi="Arial"/>
          <w:sz w:val="24"/>
          <w:szCs w:val="24"/>
        </w:rPr>
        <w:tab/>
        <w:t xml:space="preserve">Quanto ao reconhecimento da importância da cultura indígena, os filmes obtêm sucesso em mostrar as diversas maneiras de colaboração originária para a construção da identidade cultural brasileira (materiais e imateriais), </w:t>
      </w:r>
      <w:r>
        <w:rPr>
          <w:rFonts w:eastAsia="Arial" w:cs="Arial" w:ascii="Arial" w:hAnsi="Arial"/>
          <w:sz w:val="24"/>
          <w:szCs w:val="24"/>
        </w:rPr>
        <w:t>também fazendo com que os espectadores -</w:t>
      </w:r>
      <w:r>
        <w:rPr>
          <w:rFonts w:eastAsia="Arial" w:cs="Arial" w:ascii="Arial" w:hAnsi="Arial"/>
          <w:strike w:val="false"/>
          <w:dstrike w:val="false"/>
          <w:sz w:val="24"/>
          <w:szCs w:val="24"/>
        </w:rPr>
        <w:t>desta vez estudantes-, compreendam diferenças entre os povos, suas histórias, cosmovisões, saberes tradicionais de fauna, flora, pesca, caça e cultivo, e por consequência, combatendo o pensamento racista de que indígenas são genéricos, preguiçosos e sem importância.</w:t>
      </w:r>
    </w:p>
    <w:p>
      <w:pPr>
        <w:pStyle w:val="Normal"/>
        <w:spacing w:lineRule="auto" w:line="276" w:before="0" w:after="0"/>
        <w:jc w:val="both"/>
        <w:rPr>
          <w:rFonts w:ascii="Arial" w:hAnsi="Arial" w:eastAsia="Arial" w:cs="Arial"/>
          <w:strike w:val="false"/>
          <w:dstrike w:val="false"/>
          <w:sz w:val="24"/>
          <w:szCs w:val="24"/>
        </w:rPr>
      </w:pPr>
      <w:r>
        <w:rPr/>
      </w:r>
    </w:p>
    <w:p>
      <w:pPr>
        <w:pStyle w:val="Normal"/>
        <w:spacing w:lineRule="auto" w:line="276" w:before="0" w:after="0"/>
        <w:jc w:val="both"/>
        <w:rPr/>
      </w:pPr>
      <w:r>
        <w:rPr>
          <w:rFonts w:eastAsia="Arial" w:cs="Arial" w:ascii="Arial" w:hAnsi="Arial"/>
          <w:sz w:val="24"/>
          <w:szCs w:val="24"/>
        </w:rPr>
        <w:tab/>
        <w:t xml:space="preserve">A riqueza dos conhecimentos indígenas, passados através dos filmes </w:t>
      </w:r>
      <w:r>
        <w:rPr>
          <w:rFonts w:eastAsia="Arial" w:cs="Arial" w:ascii="Arial" w:hAnsi="Arial"/>
          <w:sz w:val="24"/>
          <w:szCs w:val="24"/>
        </w:rPr>
        <w:t xml:space="preserve">não </w:t>
      </w:r>
      <w:r>
        <w:rPr>
          <w:rFonts w:eastAsia="Arial" w:cs="Arial" w:ascii="Arial" w:hAnsi="Arial"/>
          <w:sz w:val="24"/>
          <w:szCs w:val="24"/>
        </w:rPr>
        <w:t>estão</w:t>
      </w:r>
      <w:r>
        <w:rPr>
          <w:rFonts w:eastAsia="Arial" w:cs="Arial" w:ascii="Arial" w:hAnsi="Arial"/>
          <w:sz w:val="24"/>
          <w:szCs w:val="24"/>
        </w:rPr>
        <w:t xml:space="preserve"> restrito apenas ao campo da geografia, pode ser tratado de maneira interdisciplinar, e dentro de uma sequência didática. </w:t>
      </w:r>
      <w:r>
        <w:rPr>
          <w:rFonts w:eastAsia="Arial" w:cs="Arial" w:ascii="Arial" w:hAnsi="Arial"/>
          <w:sz w:val="24"/>
          <w:szCs w:val="24"/>
        </w:rPr>
        <w:t xml:space="preserve">Porém, no campo da geografia, encontra grandeza ainda maior, particularmente quando este conteúdo é apresentado ao Fundamental II, durante seu processo de construção de saber geográfico, </w:t>
      </w:r>
      <w:r>
        <w:rPr>
          <w:rFonts w:eastAsia="Arial" w:cs="Arial" w:ascii="Arial" w:hAnsi="Arial"/>
          <w:sz w:val="24"/>
          <w:szCs w:val="24"/>
        </w:rPr>
        <w:t>como na diferenciação de regiões, modificação de paisagem, conceitos atmosféricos, territorialidade, entre outros.</w:t>
      </w:r>
    </w:p>
    <w:p>
      <w:pPr>
        <w:pStyle w:val="Ttulo2"/>
        <w:keepNext w:val="false"/>
        <w:keepLines w:val="false"/>
        <w:jc w:val="both"/>
        <w:rPr>
          <w:rFonts w:ascii="Arial" w:hAnsi="Arial"/>
        </w:rPr>
      </w:pPr>
      <w:bookmarkStart w:id="6" w:name="_u8dvdtu6gzl1"/>
      <w:bookmarkEnd w:id="6"/>
      <w:r>
        <w:rPr>
          <w:rFonts w:eastAsia="Arial" w:cs="Arial" w:ascii="Arial" w:hAnsi="Arial"/>
          <w:sz w:val="24"/>
          <w:szCs w:val="24"/>
        </w:rPr>
        <w:t>4. Conclusão</w:t>
      </w:r>
    </w:p>
    <w:p>
      <w:pPr>
        <w:pStyle w:val="Normal"/>
        <w:spacing w:lineRule="auto" w:line="360" w:before="240" w:after="240"/>
        <w:ind w:firstLine="720"/>
        <w:jc w:val="both"/>
        <w:rPr/>
      </w:pPr>
      <w:r>
        <w:rPr>
          <w:rFonts w:eastAsia="Arial" w:cs="Arial" w:ascii="Arial" w:hAnsi="Arial"/>
          <w:color w:val="000000"/>
          <w:sz w:val="24"/>
          <w:szCs w:val="24"/>
        </w:rPr>
        <w:t xml:space="preserve">O </w:t>
      </w:r>
      <w:r>
        <w:rPr>
          <w:rFonts w:eastAsia="Arial" w:cs="Arial" w:ascii="Arial" w:hAnsi="Arial"/>
          <w:color w:val="000000"/>
          <w:sz w:val="24"/>
          <w:szCs w:val="24"/>
        </w:rPr>
        <w:t>presente trabalho ainda está em estágio de desenvolvimento, portanto, nem todas as metodologias, discussões e conclusões estão em sua fase final.</w:t>
      </w:r>
    </w:p>
    <w:p>
      <w:pPr>
        <w:pStyle w:val="Normal"/>
        <w:spacing w:lineRule="auto" w:line="360" w:before="240" w:after="240"/>
        <w:ind w:firstLine="720"/>
        <w:jc w:val="both"/>
        <w:rPr/>
      </w:pPr>
      <w:r>
        <w:rPr>
          <w:rFonts w:eastAsia="Arial" w:cs="Arial" w:ascii="Arial" w:hAnsi="Arial"/>
          <w:color w:val="000000"/>
          <w:sz w:val="24"/>
          <w:szCs w:val="24"/>
        </w:rPr>
        <w:t xml:space="preserve">De maneira geral, a utilização de cinema indígena se mostrou eficaz na proposta de apresentar uma nova e mias realista visão dos povos indígenas. Além da compreensão do modo de vida originário por parte dos alunos, os mesmos puderam entender também, as modificações trazidas pela colonização, além da relação desses povos com o território, sacralidade, </w:t>
      </w:r>
      <w:r>
        <w:rPr>
          <w:rFonts w:eastAsia="Arial" w:cs="Arial" w:ascii="Arial" w:hAnsi="Arial"/>
          <w:color w:val="000000"/>
          <w:sz w:val="24"/>
          <w:szCs w:val="24"/>
        </w:rPr>
        <w:t>as estações do ano, hierarquias sociais, entre outros.</w:t>
      </w:r>
    </w:p>
    <w:p>
      <w:pPr>
        <w:pStyle w:val="Normal"/>
        <w:spacing w:before="240" w:after="240"/>
        <w:ind w:firstLine="720"/>
        <w:jc w:val="both"/>
        <w:rPr>
          <w:rFonts w:ascii="Arial" w:hAnsi="Arial" w:eastAsia="Arial" w:cs="Arial"/>
          <w:sz w:val="24"/>
          <w:szCs w:val="24"/>
        </w:rPr>
      </w:pPr>
      <w:r>
        <w:rPr>
          <w:rFonts w:eastAsia="Arial" w:cs="Arial" w:ascii="Arial" w:hAnsi="Arial"/>
          <w:sz w:val="24"/>
          <w:szCs w:val="24"/>
        </w:rPr>
      </w:r>
    </w:p>
    <w:p>
      <w:pPr>
        <w:pStyle w:val="Ttulo2"/>
        <w:keepNext w:val="false"/>
        <w:keepLines w:val="false"/>
        <w:jc w:val="both"/>
        <w:rPr>
          <w:rFonts w:ascii="Arial" w:hAnsi="Arial"/>
        </w:rPr>
      </w:pPr>
      <w:r>
        <w:rPr>
          <w:rFonts w:eastAsia="Arial" w:cs="Arial" w:ascii="Arial" w:hAnsi="Arial"/>
          <w:sz w:val="24"/>
          <w:szCs w:val="24"/>
        </w:rPr>
        <w:t>5. Referências</w:t>
      </w:r>
    </w:p>
    <w:p>
      <w:pPr>
        <w:pStyle w:val="Normal"/>
        <w:spacing w:lineRule="auto" w:line="360" w:before="240" w:after="240"/>
        <w:ind w:firstLine="720"/>
        <w:jc w:val="both"/>
        <w:rPr>
          <w:rFonts w:ascii="Arial" w:hAnsi="Arial" w:eastAsia="Times New Roman" w:cs="Times New Roman"/>
          <w:sz w:val="24"/>
          <w:szCs w:val="24"/>
        </w:rPr>
      </w:pPr>
      <w:r>
        <w:rPr>
          <w:rFonts w:eastAsia="Arial" w:cs="Arial" w:ascii="Arial" w:hAnsi="Arial"/>
          <w:sz w:val="24"/>
          <w:szCs w:val="24"/>
        </w:rPr>
        <w:t>AUMONT, Jacques 2004. Lumière, O último pintor impressionista'. O olho interminável: cinema e pintura. São Paulo: Cosac &amp; Naify, pp. 25-46. 2006.</w:t>
      </w:r>
    </w:p>
    <w:p>
      <w:pPr>
        <w:pStyle w:val="Normal"/>
        <w:spacing w:lineRule="auto" w:line="360" w:before="240" w:after="240"/>
        <w:ind w:firstLine="720"/>
        <w:jc w:val="both"/>
        <w:rPr>
          <w:rFonts w:ascii="Arial" w:hAnsi="Arial" w:eastAsia="Times New Roman" w:cs="Times New Roman"/>
          <w:sz w:val="24"/>
          <w:szCs w:val="24"/>
        </w:rPr>
      </w:pPr>
      <w:r>
        <w:rPr>
          <w:rFonts w:eastAsia="Arial" w:cs="Arial" w:ascii="Arial" w:hAnsi="Arial"/>
          <w:sz w:val="24"/>
          <w:szCs w:val="24"/>
        </w:rPr>
        <w:t>PRADO, Lúcia Fernanda da Silva. Cinema como proposta educativa. Acesso em 14 de julho de 2016.</w:t>
      </w:r>
    </w:p>
    <w:p>
      <w:pPr>
        <w:pStyle w:val="Normal"/>
        <w:spacing w:lineRule="auto" w:line="360" w:before="240" w:after="240"/>
        <w:ind w:hanging="0"/>
        <w:jc w:val="both"/>
        <w:rPr>
          <w:rFonts w:ascii="Arial" w:hAnsi="Arial" w:eastAsia="Times New Roman" w:cs="Times New Roman"/>
          <w:sz w:val="24"/>
          <w:szCs w:val="24"/>
        </w:rPr>
      </w:pPr>
      <w:r>
        <w:rPr>
          <w:rFonts w:eastAsia="Arial" w:cs="Arial" w:ascii="Arial" w:hAnsi="Arial"/>
          <w:sz w:val="24"/>
          <w:szCs w:val="24"/>
        </w:rPr>
        <w:tab/>
        <w:t>BERNARDET, Jean-Claude 2004. Vídeo nas Aldeias, o documentário e a alteridade. In: Mostra Vídeo nas Aldeias: um olhar indígena. Catálogo da mostra realizada entre 20 e 25 de abril de 2004 no CCBB, pp. 8-11. Rio de Janeiro.</w:t>
      </w:r>
    </w:p>
    <w:p>
      <w:pPr>
        <w:pStyle w:val="Normal"/>
        <w:spacing w:lineRule="auto" w:line="360" w:before="240" w:after="240"/>
        <w:ind w:hanging="0"/>
        <w:jc w:val="both"/>
        <w:rPr>
          <w:rFonts w:ascii="Arial" w:hAnsi="Arial" w:eastAsia="Times New Roman" w:cs="Times New Roman"/>
          <w:sz w:val="24"/>
          <w:szCs w:val="24"/>
        </w:rPr>
      </w:pPr>
      <w:r>
        <w:rPr>
          <w:rFonts w:eastAsia="Arial" w:cs="Arial" w:ascii="Arial" w:hAnsi="Arial"/>
          <w:sz w:val="24"/>
          <w:szCs w:val="24"/>
        </w:rPr>
        <w:tab/>
        <w:t xml:space="preserve">GONÇALVES, Marco Antonio. 2008. Marco Antonio. O real imaginado: Etnografia, cinema e surrealismo em Jean Rouch. Rio de Janeiro: Topbooks Editora e Distribuidora de Livros. 2010. Traduzir o outro, etnografia e semelhança. Rio de Janeiro: 7Letras. </w:t>
      </w:r>
    </w:p>
    <w:p>
      <w:pPr>
        <w:pStyle w:val="Normal"/>
        <w:spacing w:lineRule="auto" w:line="360" w:before="240" w:after="240"/>
        <w:ind w:hanging="0"/>
        <w:jc w:val="both"/>
        <w:rPr>
          <w:rFonts w:ascii="Arial" w:hAnsi="Arial" w:eastAsia="Times New Roman" w:cs="Times New Roman"/>
          <w:sz w:val="24"/>
          <w:szCs w:val="24"/>
        </w:rPr>
      </w:pPr>
      <w:r>
        <w:rPr>
          <w:rFonts w:eastAsia="Arial" w:cs="Arial" w:ascii="Arial" w:hAnsi="Arial"/>
          <w:sz w:val="24"/>
          <w:szCs w:val="24"/>
        </w:rPr>
        <w:tab/>
        <w:t>ACADEMIA INTERNACIONAL DE CINEMA. História do cinema: confira este guia e se destaque! Publicado em 25/08/2020. Disponível em. Acesso em: 14 fev. 2022.</w:t>
      </w:r>
    </w:p>
    <w:p>
      <w:pPr>
        <w:pStyle w:val="Normal"/>
        <w:spacing w:lineRule="auto" w:line="360" w:before="240" w:after="240"/>
        <w:ind w:hanging="0"/>
        <w:jc w:val="both"/>
        <w:rPr>
          <w:rFonts w:ascii="Arial" w:hAnsi="Arial" w:eastAsia="Times New Roman" w:cs="Times New Roman"/>
          <w:sz w:val="24"/>
          <w:szCs w:val="24"/>
        </w:rPr>
      </w:pPr>
      <w:r>
        <w:rPr>
          <w:rFonts w:eastAsia="Arial" w:cs="Arial" w:ascii="Arial" w:hAnsi="Arial"/>
          <w:sz w:val="24"/>
          <w:szCs w:val="24"/>
        </w:rPr>
        <w:tab/>
        <w:t>Brasil, André. Formas do antecampo: performatividade no documentário brasileiro contemporâneo. Famecos, vol.20, n.3, 2013. :578-602.</w:t>
      </w:r>
    </w:p>
    <w:p>
      <w:pPr>
        <w:pStyle w:val="Normal"/>
        <w:spacing w:lineRule="auto" w:line="360" w:before="240" w:after="240"/>
        <w:ind w:hanging="0"/>
        <w:jc w:val="both"/>
        <w:rPr>
          <w:rFonts w:ascii="Arial" w:hAnsi="Arial" w:eastAsia="Times New Roman" w:cs="Times New Roman"/>
          <w:sz w:val="24"/>
          <w:szCs w:val="24"/>
        </w:rPr>
      </w:pPr>
      <w:r>
        <w:rPr>
          <w:rFonts w:eastAsia="Arial" w:cs="Arial" w:ascii="Arial" w:hAnsi="Arial"/>
          <w:sz w:val="24"/>
          <w:szCs w:val="24"/>
        </w:rPr>
        <w:tab/>
        <w:t>Ginsburg, Faye. The parallax effect: The impact of aboriginal media on ethnographic film. Visual Anthropology Review. Vol.11, n.2, 1995.</w:t>
      </w:r>
    </w:p>
    <w:p>
      <w:pPr>
        <w:pStyle w:val="Normal"/>
        <w:spacing w:lineRule="auto" w:line="360" w:before="240" w:after="240"/>
        <w:ind w:hanging="0"/>
        <w:jc w:val="both"/>
        <w:rPr>
          <w:rFonts w:ascii="Arial" w:hAnsi="Arial" w:eastAsia="Times New Roman" w:cs="Times New Roman"/>
          <w:sz w:val="24"/>
          <w:szCs w:val="24"/>
        </w:rPr>
      </w:pPr>
      <w:r>
        <w:rPr>
          <w:rFonts w:eastAsia="Arial" w:cs="Arial" w:ascii="Arial" w:hAnsi="Arial"/>
          <w:sz w:val="24"/>
          <w:szCs w:val="24"/>
        </w:rPr>
        <w:tab/>
        <w:t>Carelli, Vincent e Gallois, Dominique T. Vídeo e diálogo cultural: experiência do projeto Vídeo nas Aldeias. Horizontes Antropológicos, ano 1, n.2, p.61-72, 1992.</w:t>
      </w:r>
    </w:p>
    <w:p>
      <w:pPr>
        <w:pStyle w:val="Normal"/>
        <w:spacing w:lineRule="auto" w:line="360" w:before="240" w:after="240"/>
        <w:ind w:hanging="0"/>
        <w:jc w:val="both"/>
        <w:rPr>
          <w:rFonts w:ascii="Arial" w:hAnsi="Arial" w:eastAsia="Times New Roman" w:cs="Times New Roman"/>
          <w:sz w:val="24"/>
          <w:szCs w:val="24"/>
        </w:rPr>
      </w:pPr>
      <w:r>
        <w:rPr>
          <w:rFonts w:eastAsia="Arial" w:cs="Arial" w:ascii="Arial" w:hAnsi="Arial"/>
          <w:sz w:val="24"/>
          <w:szCs w:val="24"/>
        </w:rPr>
        <w:t xml:space="preserve">ELIAS, Norbert. 1994. O processo civilizador: Uma história dos costumes. Rio de Janeiro: Jorge Zahar Ed., v. I. </w:t>
      </w:r>
    </w:p>
    <w:p>
      <w:pPr>
        <w:pStyle w:val="Normal"/>
        <w:spacing w:lineRule="auto" w:line="360" w:before="240" w:after="240"/>
        <w:ind w:hanging="0"/>
        <w:jc w:val="both"/>
        <w:rPr>
          <w:rFonts w:ascii="Arial" w:hAnsi="Arial" w:eastAsia="Times New Roman" w:cs="Times New Roman"/>
          <w:sz w:val="24"/>
          <w:szCs w:val="24"/>
        </w:rPr>
      </w:pPr>
      <w:r>
        <w:rPr>
          <w:rFonts w:eastAsia="Arial" w:cs="Arial" w:ascii="Arial" w:hAnsi="Arial"/>
          <w:sz w:val="24"/>
          <w:szCs w:val="24"/>
        </w:rPr>
        <w:t xml:space="preserve">KANT, Immanuel. Crítica da Faculdade de julgar. Tradução de Fernando Costa Mattos. Petrópolis: Editora Vozes, 2016. </w:t>
      </w:r>
    </w:p>
    <w:p>
      <w:pPr>
        <w:pStyle w:val="Normal"/>
        <w:spacing w:lineRule="auto" w:line="360" w:before="240" w:after="240"/>
        <w:ind w:hanging="0"/>
        <w:jc w:val="both"/>
        <w:rPr>
          <w:rFonts w:ascii="Arial" w:hAnsi="Arial" w:eastAsia="Times New Roman" w:cs="Times New Roman"/>
          <w:sz w:val="24"/>
          <w:szCs w:val="24"/>
        </w:rPr>
      </w:pPr>
      <w:r>
        <w:rPr>
          <w:rFonts w:eastAsia="Arial" w:cs="Arial" w:ascii="Arial" w:hAnsi="Arial"/>
          <w:sz w:val="24"/>
          <w:szCs w:val="24"/>
        </w:rPr>
        <w:t xml:space="preserve">JAY, Martin. A imaginação dialética: história da Escola de Frankfurt e do instituto de Pesquisas sociais, 1923-1950. Tradução de Vera Ribeiro; revisão da tradução César Benjamin. Rio de Janeiro: Contraponto, 2008. </w:t>
      </w:r>
    </w:p>
    <w:p>
      <w:pPr>
        <w:pStyle w:val="Normal"/>
        <w:spacing w:lineRule="auto" w:line="360" w:before="240" w:after="240"/>
        <w:ind w:hanging="0"/>
        <w:jc w:val="both"/>
        <w:rPr>
          <w:rFonts w:ascii="Arial" w:hAnsi="Arial" w:eastAsia="Times New Roman" w:cs="Times New Roman"/>
          <w:sz w:val="24"/>
          <w:szCs w:val="24"/>
        </w:rPr>
      </w:pPr>
      <w:r>
        <w:rPr>
          <w:rFonts w:eastAsia="Times New Roman" w:cs="Times New Roman" w:ascii="Arial" w:hAnsi="Arial"/>
          <w:sz w:val="24"/>
          <w:szCs w:val="24"/>
        </w:rPr>
        <w:t>DORRICO, Julie. DANNER, Fernando; DANNER, Leno (Orgs.). Literatura indígena brasileira contemporânea: autoria, autonomia, ativismo [recurso eletrônico] Porto Alegre, RS: Editora Fi, 2020.</w:t>
      </w:r>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t>KOPENAWA, Davi; ALBERT, Bruce.  A queda do céu. Palavras de um xamã yanomami. Tradução Beatriz Perrone-Moisés. São Paulo, Companhia das Letras, 2015.</w:t>
      </w:r>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t>1970b. Os índios e a Civilização: a integração das populações indígenas no Brasil moderno. Rio de Janeiro: Civilização Brasileira.</w:t>
      </w:r>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r>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r>
    </w:p>
    <w:p>
      <w:pPr>
        <w:pStyle w:val="Normal"/>
        <w:spacing w:lineRule="auto" w:line="360" w:before="200" w:after="200"/>
        <w:jc w:val="both"/>
        <w:rPr/>
      </w:pPr>
      <w:r>
        <w:rPr/>
      </w:r>
    </w:p>
    <w:sectPr>
      <w:headerReference w:type="default" r:id="rId2"/>
      <w:headerReference w:type="first" r:id="rId3"/>
      <w:footerReference w:type="default" r:id="rId4"/>
      <w:footerReference w:type="first" r:id="rId5"/>
      <w:type w:val="nextPage"/>
      <w:pgSz w:w="11906" w:h="16838"/>
      <w:pgMar w:left="1701" w:right="1134" w:header="1701" w:top="1985" w:footer="272" w:bottom="1701" w:gutter="0"/>
      <w:pgNumType w:start="1"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Calibri">
    <w:charset w:val="00"/>
    <w:family w:val="roman"/>
    <w:pitch w:val="variable"/>
  </w:font>
  <w:font w:name="Tahoma">
    <w:charset w:val="00"/>
    <w:family w:val="roman"/>
    <w:pitch w:val="variable"/>
  </w:font>
  <w:font w:name="Arial">
    <w:charset w:val="00"/>
    <w:family w:val="roman"/>
    <w:pitch w:val="variable"/>
  </w:font>
  <w:font w:name="Georgia">
    <w:charset w:val="00"/>
    <w:family w:val="roman"/>
    <w:pitch w:val="variable"/>
  </w:font>
  <w:font w:name="Times New Roman">
    <w:altName w:val="serif"/>
    <w:charset w:val="00"/>
    <w:family w:val="auto"/>
    <w:pitch w:val="default"/>
  </w:font>
  <w:font w:name="Arial">
    <w:charset w:val="01"/>
    <w:family w:val="swiss"/>
    <w:pitch w:val="variable"/>
  </w:font>
  <w:font w:name="Wingdings">
    <w:charset w:val="02"/>
    <w:family w:val="auto"/>
    <w:pitch w:val="variable"/>
  </w:font>
  <w:font w:name="Wingdings 2">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center" w:pos="4252" w:leader="none"/>
        <w:tab w:val="right" w:pos="8504" w:leader="none"/>
      </w:tabs>
      <w:spacing w:lineRule="auto" w:line="240" w:before="0" w:after="0"/>
      <w:ind w:left="-1695" w:hanging="0"/>
      <w:rPr>
        <w:color w:val="000000"/>
      </w:rPr>
    </w:pPr>
    <w:r>
      <w:rPr/>
      <w:drawing>
        <wp:inline distT="0" distB="0" distL="0" distR="0">
          <wp:extent cx="7848600" cy="209550"/>
          <wp:effectExtent l="0" t="0" r="0" b="0"/>
          <wp:docPr id="9" name="Imagem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2" descr=""/>
                  <pic:cNvPicPr>
                    <a:picLocks noChangeAspect="1" noChangeArrowheads="1"/>
                  </pic:cNvPicPr>
                </pic:nvPicPr>
                <pic:blipFill>
                  <a:blip r:embed="rId1"/>
                  <a:stretch>
                    <a:fillRect/>
                  </a:stretch>
                </pic:blipFill>
                <pic:spPr bwMode="auto">
                  <a:xfrm>
                    <a:off x="0" y="0"/>
                    <a:ext cx="7848600" cy="209550"/>
                  </a:xfrm>
                  <a:prstGeom prst="rect">
                    <a:avLst/>
                  </a:prstGeom>
                </pic:spPr>
              </pic:pic>
            </a:graphicData>
          </a:graphic>
        </wp:inline>
      </w:drawing>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ind w:left="-1701" w:hanging="0"/>
      <w:rPr/>
    </w:pPr>
    <w:r>
      <w:rPr/>
      <w:drawing>
        <wp:inline distT="0" distB="0" distL="0" distR="0">
          <wp:extent cx="8391525" cy="228600"/>
          <wp:effectExtent l="0" t="0" r="0" b="0"/>
          <wp:docPr id="10"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a2" descr=""/>
                  <pic:cNvPicPr>
                    <a:picLocks noChangeAspect="1" noChangeArrowheads="1"/>
                  </pic:cNvPicPr>
                </pic:nvPicPr>
                <pic:blipFill>
                  <a:blip r:embed="rId1"/>
                  <a:stretch>
                    <a:fillRect/>
                  </a:stretch>
                </pic:blipFill>
                <pic:spPr bwMode="auto">
                  <a:xfrm>
                    <a:off x="0" y="0"/>
                    <a:ext cx="8391525" cy="228600"/>
                  </a:xfrm>
                  <a:prstGeom prst="rect">
                    <a:avLst/>
                  </a:prstGeom>
                </pic:spPr>
              </pic:pic>
            </a:graphicData>
          </a:graphic>
        </wp:inline>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center" w:pos="4252" w:leader="none"/>
        <w:tab w:val="right" w:pos="8504" w:leader="none"/>
      </w:tabs>
      <w:spacing w:lineRule="auto" w:line="240" w:before="0" w:after="0"/>
      <w:ind w:right="360" w:hanging="0"/>
      <w:rPr>
        <w:color w:val="000000"/>
      </w:rPr>
    </w:pPr>
    <w:r>
      <w:rPr>
        <w:color w:val="000000"/>
      </w:rPr>
      <mc:AlternateContent>
        <mc:Choice Requires="wps">
          <w:drawing>
            <wp:anchor behindDoc="1" distT="0" distB="0" distL="0" distR="0" simplePos="0" locked="0" layoutInCell="1" allowOverlap="1" relativeHeight="21">
              <wp:simplePos x="0" y="0"/>
              <wp:positionH relativeFrom="page">
                <wp:posOffset>6772910</wp:posOffset>
              </wp:positionH>
              <wp:positionV relativeFrom="paragraph">
                <wp:posOffset>-643890</wp:posOffset>
              </wp:positionV>
              <wp:extent cx="78105" cy="174625"/>
              <wp:effectExtent l="0" t="0" r="0" b="0"/>
              <wp:wrapNone/>
              <wp:docPr id="3" name="Quadro1"/>
              <a:graphic xmlns:a="http://schemas.openxmlformats.org/drawingml/2006/main">
                <a:graphicData uri="http://schemas.microsoft.com/office/word/2010/wordprocessingShape">
                  <wps:wsp>
                    <wps:cNvSpPr/>
                    <wps:spPr>
                      <a:xfrm>
                        <a:off x="0" y="0"/>
                        <a:ext cx="77400" cy="173880"/>
                      </a:xfrm>
                      <a:prstGeom prst="rect">
                        <a:avLst/>
                      </a:prstGeom>
                      <a:noFill/>
                      <a:ln>
                        <a:noFill/>
                      </a:ln>
                    </wps:spPr>
                    <wps:style>
                      <a:lnRef idx="0"/>
                      <a:fillRef idx="0"/>
                      <a:effectRef idx="0"/>
                      <a:fontRef idx="minor"/>
                    </wps:style>
                    <wps:txbx>
                      <w:txbxContent>
                        <w:p>
                          <w:pPr>
                            <w:pStyle w:val="Cabealho"/>
                            <w:rPr/>
                          </w:pPr>
                          <w:r>
                            <w:rPr>
                              <w:rStyle w:val="Pagenumber"/>
                              <w:rFonts w:cs="Times New Roman" w:ascii="Times New Roman" w:hAnsi="Times New Roman"/>
                              <w:color w:val="000000"/>
                              <w:sz w:val="24"/>
                              <w:szCs w:val="24"/>
                            </w:rPr>
                            <w:fldChar w:fldCharType="begin"/>
                          </w:r>
                          <w:r>
                            <w:rPr>
                              <w:rStyle w:val="Pagenumber"/>
                              <w:sz w:val="24"/>
                              <w:szCs w:val="24"/>
                              <w:rFonts w:cs="Times New Roman" w:ascii="Times New Roman" w:hAnsi="Times New Roman"/>
                            </w:rPr>
                            <w:instrText> PAGE </w:instrText>
                          </w:r>
                          <w:r>
                            <w:rPr>
                              <w:rStyle w:val="Pagenumber"/>
                              <w:sz w:val="24"/>
                              <w:szCs w:val="24"/>
                              <w:rFonts w:cs="Times New Roman" w:ascii="Times New Roman" w:hAnsi="Times New Roman"/>
                            </w:rPr>
                            <w:fldChar w:fldCharType="separate"/>
                          </w:r>
                          <w:r>
                            <w:rPr>
                              <w:rStyle w:val="Pagenumber"/>
                              <w:sz w:val="24"/>
                              <w:szCs w:val="24"/>
                              <w:rFonts w:cs="Times New Roman" w:ascii="Times New Roman" w:hAnsi="Times New Roman"/>
                            </w:rPr>
                            <w:t>7</w:t>
                          </w:r>
                          <w:r>
                            <w:rPr>
                              <w:rStyle w:val="Pagenumber"/>
                              <w:sz w:val="24"/>
                              <w:szCs w:val="24"/>
                              <w:rFonts w:cs="Times New Roman" w:ascii="Times New Roman" w:hAnsi="Times New Roman"/>
                            </w:rPr>
                            <w:fldChar w:fldCharType="end"/>
                          </w:r>
                        </w:p>
                      </w:txbxContent>
                    </wps:txbx>
                    <wps:bodyPr lIns="0" rIns="0" tIns="0" bIns="0">
                      <a:spAutoFit/>
                    </wps:bodyPr>
                  </wps:wsp>
                </a:graphicData>
              </a:graphic>
            </wp:anchor>
          </w:drawing>
        </mc:Choice>
        <mc:Fallback>
          <w:pict>
            <v:rect id="shape_0" ID="Quadro1" stroked="f" style="position:absolute;margin-left:533.3pt;margin-top:-50.7pt;width:6.05pt;height:13.65pt;mso-position-horizontal-relative:page">
              <w10:wrap type="square"/>
              <v:fill o:detectmouseclick="t" on="false"/>
              <v:stroke color="#3465a4" joinstyle="round" endcap="flat"/>
              <v:textbox>
                <w:txbxContent>
                  <w:p>
                    <w:pPr>
                      <w:pStyle w:val="Cabealho"/>
                      <w:rPr/>
                    </w:pPr>
                    <w:r>
                      <w:rPr>
                        <w:rStyle w:val="Pagenumber"/>
                        <w:rFonts w:cs="Times New Roman" w:ascii="Times New Roman" w:hAnsi="Times New Roman"/>
                        <w:color w:val="000000"/>
                        <w:sz w:val="24"/>
                        <w:szCs w:val="24"/>
                      </w:rPr>
                      <w:fldChar w:fldCharType="begin"/>
                    </w:r>
                    <w:r>
                      <w:rPr>
                        <w:rStyle w:val="Pagenumber"/>
                        <w:sz w:val="24"/>
                        <w:szCs w:val="24"/>
                        <w:rFonts w:cs="Times New Roman" w:ascii="Times New Roman" w:hAnsi="Times New Roman"/>
                      </w:rPr>
                      <w:instrText> PAGE </w:instrText>
                    </w:r>
                    <w:r>
                      <w:rPr>
                        <w:rStyle w:val="Pagenumber"/>
                        <w:sz w:val="24"/>
                        <w:szCs w:val="24"/>
                        <w:rFonts w:cs="Times New Roman" w:ascii="Times New Roman" w:hAnsi="Times New Roman"/>
                      </w:rPr>
                      <w:fldChar w:fldCharType="separate"/>
                    </w:r>
                    <w:r>
                      <w:rPr>
                        <w:rStyle w:val="Pagenumber"/>
                        <w:sz w:val="24"/>
                        <w:szCs w:val="24"/>
                        <w:rFonts w:cs="Times New Roman" w:ascii="Times New Roman" w:hAnsi="Times New Roman"/>
                      </w:rPr>
                      <w:t>7</w:t>
                    </w:r>
                    <w:r>
                      <w:rPr>
                        <w:rStyle w:val="Pagenumber"/>
                        <w:sz w:val="24"/>
                        <w:szCs w:val="24"/>
                        <w:rFonts w:cs="Times New Roman" w:ascii="Times New Roman" w:hAnsi="Times New Roman"/>
                      </w:rPr>
                      <w:fldChar w:fldCharType="end"/>
                    </w:r>
                  </w:p>
                </w:txbxContent>
              </v:textbox>
            </v:rect>
          </w:pict>
        </mc:Fallback>
      </mc:AlternateContent>
      <w:drawing>
        <wp:anchor behindDoc="1" distT="0" distB="0" distL="0" distR="0" simplePos="0" locked="0" layoutInCell="1" allowOverlap="1" relativeHeight="8">
          <wp:simplePos x="0" y="0"/>
          <wp:positionH relativeFrom="column">
            <wp:posOffset>-255270</wp:posOffset>
          </wp:positionH>
          <wp:positionV relativeFrom="margin">
            <wp:posOffset>2602230</wp:posOffset>
          </wp:positionV>
          <wp:extent cx="5758815" cy="4018280"/>
          <wp:effectExtent l="0" t="0" r="0" b="0"/>
          <wp:wrapNone/>
          <wp:docPr id="5" name="WordPictureWatermark4514579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45145798" descr=""/>
                  <pic:cNvPicPr>
                    <a:picLocks noChangeAspect="1" noChangeArrowheads="1"/>
                  </pic:cNvPicPr>
                </pic:nvPicPr>
                <pic:blipFill>
                  <a:blip r:embed="rId1"/>
                  <a:stretch>
                    <a:fillRect/>
                  </a:stretch>
                </pic:blipFill>
                <pic:spPr bwMode="auto">
                  <a:xfrm>
                    <a:off x="0" y="0"/>
                    <a:ext cx="5758815" cy="4018280"/>
                  </a:xfrm>
                  <a:prstGeom prst="rect">
                    <a:avLst/>
                  </a:prstGeom>
                </pic:spPr>
              </pic:pic>
            </a:graphicData>
          </a:graphic>
        </wp:anchor>
      </w:drawing>
      <w:drawing>
        <wp:anchor behindDoc="1" distT="0" distB="0" distL="114300" distR="114300" simplePos="0" locked="0" layoutInCell="1" allowOverlap="1" relativeHeight="15">
          <wp:simplePos x="0" y="0"/>
          <wp:positionH relativeFrom="column">
            <wp:posOffset>-1384300</wp:posOffset>
          </wp:positionH>
          <wp:positionV relativeFrom="paragraph">
            <wp:posOffset>-756285</wp:posOffset>
          </wp:positionV>
          <wp:extent cx="7560310" cy="309245"/>
          <wp:effectExtent l="0" t="0" r="0" b="0"/>
          <wp:wrapSquare wrapText="bothSides"/>
          <wp:docPr id="6"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1" descr=""/>
                  <pic:cNvPicPr>
                    <a:picLocks noChangeAspect="1" noChangeArrowheads="1"/>
                  </pic:cNvPicPr>
                </pic:nvPicPr>
                <pic:blipFill>
                  <a:blip r:embed="rId2"/>
                  <a:stretch>
                    <a:fillRect/>
                  </a:stretch>
                </pic:blipFill>
                <pic:spPr bwMode="auto">
                  <a:xfrm>
                    <a:off x="0" y="0"/>
                    <a:ext cx="7560310" cy="309245"/>
                  </a:xfrm>
                  <a:prstGeom prst="rect">
                    <a:avLst/>
                  </a:prstGeom>
                </pic:spPr>
              </pic:pic>
            </a:graphicData>
          </a:graphic>
        </wp:anchor>
      </w:drawing>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ind w:left="-1701" w:hanging="0"/>
      <w:rPr/>
    </w:pPr>
    <w:r>
      <w:rPr/>
      <w:drawing>
        <wp:anchor behindDoc="1" distT="0" distB="0" distL="0" distR="0" simplePos="0" locked="0" layoutInCell="1" allowOverlap="1" relativeHeight="2">
          <wp:simplePos x="0" y="0"/>
          <wp:positionH relativeFrom="column">
            <wp:posOffset>721360</wp:posOffset>
          </wp:positionH>
          <wp:positionV relativeFrom="paragraph">
            <wp:posOffset>2823210</wp:posOffset>
          </wp:positionV>
          <wp:extent cx="5758815" cy="4018280"/>
          <wp:effectExtent l="0" t="0" r="0" b="0"/>
          <wp:wrapNone/>
          <wp:docPr id="7" name="WordPictureWatermark4514579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45145796" descr=""/>
                  <pic:cNvPicPr>
                    <a:picLocks noChangeAspect="1" noChangeArrowheads="1"/>
                  </pic:cNvPicPr>
                </pic:nvPicPr>
                <pic:blipFill>
                  <a:blip r:embed="rId1"/>
                  <a:stretch>
                    <a:fillRect/>
                  </a:stretch>
                </pic:blipFill>
                <pic:spPr bwMode="auto">
                  <a:xfrm>
                    <a:off x="0" y="0"/>
                    <a:ext cx="5758815" cy="4018280"/>
                  </a:xfrm>
                  <a:prstGeom prst="rect">
                    <a:avLst/>
                  </a:prstGeom>
                </pic:spPr>
              </pic:pic>
            </a:graphicData>
          </a:graphic>
        </wp:anchor>
      </w:drawing>
      <w:drawing>
        <wp:anchor behindDoc="1" distT="0" distB="0" distL="114300" distR="114300" simplePos="0" locked="0" layoutInCell="1" allowOverlap="1" relativeHeight="9">
          <wp:simplePos x="0" y="0"/>
          <wp:positionH relativeFrom="column">
            <wp:posOffset>-1080135</wp:posOffset>
          </wp:positionH>
          <wp:positionV relativeFrom="paragraph">
            <wp:posOffset>-756285</wp:posOffset>
          </wp:positionV>
          <wp:extent cx="7560310" cy="309880"/>
          <wp:effectExtent l="0" t="0" r="0" b="0"/>
          <wp:wrapSquare wrapText="bothSides"/>
          <wp:docPr id="8"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a1" descr=""/>
                  <pic:cNvPicPr>
                    <a:picLocks noChangeAspect="1" noChangeArrowheads="1"/>
                  </pic:cNvPicPr>
                </pic:nvPicPr>
                <pic:blipFill>
                  <a:blip r:embed="rId2"/>
                  <a:stretch>
                    <a:fillRect/>
                  </a:stretch>
                </pic:blipFill>
                <pic:spPr bwMode="auto">
                  <a:xfrm>
                    <a:off x="0" y="0"/>
                    <a:ext cx="7560310" cy="309880"/>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Wingdings" w:hAnsi="Wingdings" w:cs="Wingdings" w:hint="default"/>
        <w:sz w:val="24"/>
        <w:u w:val="none"/>
        <w:rFonts w:cs="Wingdings"/>
      </w:rPr>
    </w:lvl>
    <w:lvl w:ilvl="1">
      <w:start w:val="1"/>
      <w:numFmt w:val="bullet"/>
      <w:lvlText w:val=""/>
      <w:lvlJc w:val="left"/>
      <w:pPr>
        <w:ind w:left="1440" w:hanging="360"/>
      </w:pPr>
      <w:rPr>
        <w:rFonts w:ascii="Wingdings 2" w:hAnsi="Wingdings 2" w:cs="Wingdings 2" w:hint="default"/>
        <w:sz w:val="24"/>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lang w:val="pt-BR" w:eastAsia="pt-BR"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26642"/>
    <w:pPr>
      <w:widowControl/>
      <w:bidi w:val="0"/>
      <w:spacing w:lineRule="auto" w:line="259" w:before="0" w:after="160"/>
      <w:jc w:val="left"/>
    </w:pPr>
    <w:rPr>
      <w:rFonts w:ascii="Calibri" w:hAnsi="Calibri" w:eastAsia="Calibri" w:cs="Calibri"/>
      <w:color w:val="auto"/>
      <w:kern w:val="0"/>
      <w:sz w:val="22"/>
      <w:szCs w:val="22"/>
      <w:lang w:val="pt-BR" w:eastAsia="pt-BR" w:bidi="ar-SA"/>
    </w:rPr>
  </w:style>
  <w:style w:type="paragraph" w:styleId="Ttulo1">
    <w:name w:val="Heading 1"/>
    <w:basedOn w:val="Normal"/>
    <w:next w:val="Normal"/>
    <w:uiPriority w:val="9"/>
    <w:qFormat/>
    <w:rsid w:val="002500bd"/>
    <w:pPr>
      <w:keepNext w:val="true"/>
      <w:keepLines/>
      <w:spacing w:before="480" w:after="120"/>
      <w:outlineLvl w:val="0"/>
    </w:pPr>
    <w:rPr>
      <w:b/>
      <w:sz w:val="48"/>
      <w:szCs w:val="48"/>
    </w:rPr>
  </w:style>
  <w:style w:type="paragraph" w:styleId="Ttulo2">
    <w:name w:val="Heading 2"/>
    <w:basedOn w:val="Normal"/>
    <w:next w:val="Normal"/>
    <w:uiPriority w:val="9"/>
    <w:semiHidden/>
    <w:unhideWhenUsed/>
    <w:qFormat/>
    <w:rsid w:val="002500bd"/>
    <w:pPr>
      <w:keepNext w:val="true"/>
      <w:keepLines/>
      <w:spacing w:before="360" w:after="80"/>
      <w:outlineLvl w:val="1"/>
    </w:pPr>
    <w:rPr>
      <w:b/>
      <w:sz w:val="36"/>
      <w:szCs w:val="36"/>
    </w:rPr>
  </w:style>
  <w:style w:type="paragraph" w:styleId="Ttulo3">
    <w:name w:val="Heading 3"/>
    <w:basedOn w:val="Normal"/>
    <w:next w:val="Normal"/>
    <w:uiPriority w:val="9"/>
    <w:semiHidden/>
    <w:unhideWhenUsed/>
    <w:qFormat/>
    <w:rsid w:val="002500bd"/>
    <w:pPr>
      <w:keepNext w:val="true"/>
      <w:keepLines/>
      <w:spacing w:before="280" w:after="80"/>
      <w:outlineLvl w:val="2"/>
    </w:pPr>
    <w:rPr>
      <w:b/>
      <w:sz w:val="28"/>
      <w:szCs w:val="28"/>
    </w:rPr>
  </w:style>
  <w:style w:type="paragraph" w:styleId="Ttulo4">
    <w:name w:val="Heading 4"/>
    <w:basedOn w:val="Normal"/>
    <w:next w:val="Normal"/>
    <w:uiPriority w:val="9"/>
    <w:semiHidden/>
    <w:unhideWhenUsed/>
    <w:qFormat/>
    <w:rsid w:val="002500bd"/>
    <w:pPr>
      <w:keepNext w:val="true"/>
      <w:keepLines/>
      <w:spacing w:before="240" w:after="40"/>
      <w:outlineLvl w:val="3"/>
    </w:pPr>
    <w:rPr>
      <w:b/>
      <w:sz w:val="24"/>
      <w:szCs w:val="24"/>
    </w:rPr>
  </w:style>
  <w:style w:type="paragraph" w:styleId="Ttulo5">
    <w:name w:val="Heading 5"/>
    <w:basedOn w:val="Normal"/>
    <w:next w:val="Normal"/>
    <w:uiPriority w:val="9"/>
    <w:semiHidden/>
    <w:unhideWhenUsed/>
    <w:qFormat/>
    <w:rsid w:val="002500bd"/>
    <w:pPr>
      <w:keepNext w:val="true"/>
      <w:keepLines/>
      <w:spacing w:before="220" w:after="40"/>
      <w:outlineLvl w:val="4"/>
    </w:pPr>
    <w:rPr>
      <w:b/>
    </w:rPr>
  </w:style>
  <w:style w:type="paragraph" w:styleId="Ttulo6">
    <w:name w:val="Heading 6"/>
    <w:basedOn w:val="Normal"/>
    <w:next w:val="Normal"/>
    <w:uiPriority w:val="9"/>
    <w:semiHidden/>
    <w:unhideWhenUsed/>
    <w:qFormat/>
    <w:rsid w:val="002500bd"/>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link w:val="Cabealho"/>
    <w:uiPriority w:val="99"/>
    <w:qFormat/>
    <w:rsid w:val="00523131"/>
    <w:rPr/>
  </w:style>
  <w:style w:type="character" w:styleId="RodapChar" w:customStyle="1">
    <w:name w:val="Rodapé Char"/>
    <w:basedOn w:val="DefaultParagraphFont"/>
    <w:link w:val="Rodap"/>
    <w:uiPriority w:val="99"/>
    <w:qFormat/>
    <w:rsid w:val="00523131"/>
    <w:rPr/>
  </w:style>
  <w:style w:type="character" w:styleId="LinkdaInternet">
    <w:name w:val="Link da Internet"/>
    <w:basedOn w:val="DefaultParagraphFont"/>
    <w:uiPriority w:val="99"/>
    <w:semiHidden/>
    <w:unhideWhenUsed/>
    <w:rsid w:val="00222b90"/>
    <w:rPr>
      <w:color w:val="0000FF"/>
      <w:u w:val="single"/>
    </w:rPr>
  </w:style>
  <w:style w:type="character" w:styleId="Appleconvertedspace" w:customStyle="1">
    <w:name w:val="apple-converted-space"/>
    <w:basedOn w:val="DefaultParagraphFont"/>
    <w:qFormat/>
    <w:rsid w:val="00222b90"/>
    <w:rPr/>
  </w:style>
  <w:style w:type="character" w:styleId="Strong">
    <w:name w:val="Strong"/>
    <w:basedOn w:val="DefaultParagraphFont"/>
    <w:uiPriority w:val="22"/>
    <w:qFormat/>
    <w:rsid w:val="00222b90"/>
    <w:rPr>
      <w:b/>
      <w:bCs/>
    </w:rPr>
  </w:style>
  <w:style w:type="character" w:styleId="Pagenumber">
    <w:name w:val="page number"/>
    <w:basedOn w:val="DefaultParagraphFont"/>
    <w:uiPriority w:val="99"/>
    <w:semiHidden/>
    <w:unhideWhenUsed/>
    <w:qFormat/>
    <w:rsid w:val="002d77c0"/>
    <w:rPr/>
  </w:style>
  <w:style w:type="character" w:styleId="TextodebaloChar" w:customStyle="1">
    <w:name w:val="Texto de balão Char"/>
    <w:basedOn w:val="DefaultParagraphFont"/>
    <w:link w:val="Textodebalo"/>
    <w:uiPriority w:val="99"/>
    <w:semiHidden/>
    <w:qFormat/>
    <w:rsid w:val="0023277c"/>
    <w:rPr>
      <w:rFonts w:ascii="Tahoma" w:hAnsi="Tahoma" w:cs="Tahoma"/>
      <w:sz w:val="16"/>
      <w:szCs w:val="16"/>
    </w:rPr>
  </w:style>
  <w:style w:type="character" w:styleId="ListLabel1">
    <w:name w:val="ListLabel 1"/>
    <w:qFormat/>
    <w:rPr>
      <w:sz w:val="20"/>
    </w:rPr>
  </w:style>
  <w:style w:type="character" w:styleId="ListLabel2">
    <w:name w:val="ListLabel 2"/>
    <w:qFormat/>
    <w:rPr>
      <w:sz w:val="20"/>
    </w:rPr>
  </w:style>
  <w:style w:type="character" w:styleId="ListLabel3">
    <w:name w:val="ListLabel 3"/>
    <w:qFormat/>
    <w:rPr>
      <w:sz w:val="20"/>
    </w:rPr>
  </w:style>
  <w:style w:type="character" w:styleId="ListLabel4">
    <w:name w:val="ListLabel 4"/>
    <w:qFormat/>
    <w:rPr>
      <w:sz w:val="20"/>
    </w:rPr>
  </w:style>
  <w:style w:type="character" w:styleId="ListLabel5">
    <w:name w:val="ListLabel 5"/>
    <w:qFormat/>
    <w:rPr>
      <w:sz w:val="20"/>
    </w:rPr>
  </w:style>
  <w:style w:type="character" w:styleId="ListLabel6">
    <w:name w:val="ListLabel 6"/>
    <w:qFormat/>
    <w:rPr>
      <w:sz w:val="20"/>
    </w:rPr>
  </w:style>
  <w:style w:type="character" w:styleId="ListLabel7">
    <w:name w:val="ListLabel 7"/>
    <w:qFormat/>
    <w:rPr>
      <w:sz w:val="20"/>
    </w:rPr>
  </w:style>
  <w:style w:type="character" w:styleId="ListLabel8">
    <w:name w:val="ListLabel 8"/>
    <w:qFormat/>
    <w:rPr>
      <w:sz w:val="20"/>
    </w:rPr>
  </w:style>
  <w:style w:type="character" w:styleId="ListLabel9">
    <w:name w:val="ListLabel 9"/>
    <w:qFormat/>
    <w:rPr>
      <w:sz w:val="20"/>
    </w:rPr>
  </w:style>
  <w:style w:type="character" w:styleId="ListLabel10">
    <w:name w:val="ListLabel 10"/>
    <w:qFormat/>
    <w:rPr>
      <w:sz w:val="20"/>
    </w:rPr>
  </w:style>
  <w:style w:type="character" w:styleId="ListLabel11">
    <w:name w:val="ListLabel 11"/>
    <w:qFormat/>
    <w:rPr>
      <w:sz w:val="20"/>
    </w:rPr>
  </w:style>
  <w:style w:type="character" w:styleId="ListLabel12">
    <w:name w:val="ListLabel 12"/>
    <w:qFormat/>
    <w:rPr>
      <w:sz w:val="20"/>
    </w:rPr>
  </w:style>
  <w:style w:type="character" w:styleId="ListLabel13">
    <w:name w:val="ListLabel 13"/>
    <w:qFormat/>
    <w:rPr>
      <w:sz w:val="20"/>
    </w:rPr>
  </w:style>
  <w:style w:type="character" w:styleId="ListLabel14">
    <w:name w:val="ListLabel 14"/>
    <w:qFormat/>
    <w:rPr>
      <w:sz w:val="20"/>
    </w:rPr>
  </w:style>
  <w:style w:type="character" w:styleId="ListLabel15">
    <w:name w:val="ListLabel 15"/>
    <w:qFormat/>
    <w:rPr>
      <w:sz w:val="20"/>
    </w:rPr>
  </w:style>
  <w:style w:type="character" w:styleId="ListLabel16">
    <w:name w:val="ListLabel 16"/>
    <w:qFormat/>
    <w:rPr>
      <w:sz w:val="20"/>
    </w:rPr>
  </w:style>
  <w:style w:type="character" w:styleId="ListLabel17">
    <w:name w:val="ListLabel 17"/>
    <w:qFormat/>
    <w:rPr>
      <w:sz w:val="20"/>
    </w:rPr>
  </w:style>
  <w:style w:type="character" w:styleId="ListLabel18">
    <w:name w:val="ListLabel 18"/>
    <w:qFormat/>
    <w:rPr>
      <w:sz w:val="20"/>
    </w:rPr>
  </w:style>
  <w:style w:type="character" w:styleId="ListLabel19">
    <w:name w:val="ListLabel 19"/>
    <w:qFormat/>
    <w:rPr>
      <w:sz w:val="20"/>
    </w:rPr>
  </w:style>
  <w:style w:type="character" w:styleId="ListLabel20">
    <w:name w:val="ListLabel 20"/>
    <w:qFormat/>
    <w:rPr>
      <w:sz w:val="20"/>
    </w:rPr>
  </w:style>
  <w:style w:type="character" w:styleId="ListLabel21">
    <w:name w:val="ListLabel 21"/>
    <w:qFormat/>
    <w:rPr>
      <w:sz w:val="20"/>
    </w:rPr>
  </w:style>
  <w:style w:type="character" w:styleId="ListLabel22">
    <w:name w:val="ListLabel 22"/>
    <w:qFormat/>
    <w:rPr>
      <w:sz w:val="20"/>
    </w:rPr>
  </w:style>
  <w:style w:type="character" w:styleId="ListLabel23">
    <w:name w:val="ListLabel 23"/>
    <w:qFormat/>
    <w:rPr>
      <w:sz w:val="20"/>
    </w:rPr>
  </w:style>
  <w:style w:type="character" w:styleId="ListLabel24">
    <w:name w:val="ListLabel 24"/>
    <w:qFormat/>
    <w:rPr>
      <w:sz w:val="20"/>
    </w:rPr>
  </w:style>
  <w:style w:type="character" w:styleId="ListLabel25">
    <w:name w:val="ListLabel 25"/>
    <w:qFormat/>
    <w:rPr>
      <w:sz w:val="20"/>
    </w:rPr>
  </w:style>
  <w:style w:type="character" w:styleId="ListLabel26">
    <w:name w:val="ListLabel 26"/>
    <w:qFormat/>
    <w:rPr>
      <w:sz w:val="20"/>
    </w:rPr>
  </w:style>
  <w:style w:type="character" w:styleId="ListLabel27">
    <w:name w:val="ListLabel 27"/>
    <w:qFormat/>
    <w:rPr>
      <w:sz w:val="20"/>
    </w:rPr>
  </w:style>
  <w:style w:type="character" w:styleId="ListLabel28">
    <w:name w:val="ListLabel 28"/>
    <w:qFormat/>
    <w:rPr>
      <w:sz w:val="20"/>
    </w:rPr>
  </w:style>
  <w:style w:type="character" w:styleId="ListLabel29">
    <w:name w:val="ListLabel 29"/>
    <w:qFormat/>
    <w:rPr>
      <w:sz w:val="20"/>
    </w:rPr>
  </w:style>
  <w:style w:type="character" w:styleId="ListLabel30">
    <w:name w:val="ListLabel 30"/>
    <w:qFormat/>
    <w:rPr>
      <w:sz w:val="20"/>
    </w:rPr>
  </w:style>
  <w:style w:type="character" w:styleId="ListLabel31">
    <w:name w:val="ListLabel 31"/>
    <w:qFormat/>
    <w:rPr>
      <w:sz w:val="20"/>
    </w:rPr>
  </w:style>
  <w:style w:type="character" w:styleId="ListLabel32">
    <w:name w:val="ListLabel 32"/>
    <w:qFormat/>
    <w:rPr>
      <w:sz w:val="20"/>
    </w:rPr>
  </w:style>
  <w:style w:type="character" w:styleId="ListLabel33">
    <w:name w:val="ListLabel 33"/>
    <w:qFormat/>
    <w:rPr>
      <w:sz w:val="20"/>
    </w:rPr>
  </w:style>
  <w:style w:type="character" w:styleId="ListLabel34">
    <w:name w:val="ListLabel 34"/>
    <w:qFormat/>
    <w:rPr>
      <w:sz w:val="20"/>
    </w:rPr>
  </w:style>
  <w:style w:type="character" w:styleId="ListLabel35">
    <w:name w:val="ListLabel 35"/>
    <w:qFormat/>
    <w:rPr>
      <w:sz w:val="20"/>
    </w:rPr>
  </w:style>
  <w:style w:type="character" w:styleId="ListLabel36">
    <w:name w:val="ListLabel 36"/>
    <w:qFormat/>
    <w:rPr>
      <w:sz w:val="20"/>
    </w:rPr>
  </w:style>
  <w:style w:type="character" w:styleId="ListLabel37">
    <w:name w:val="ListLabel 37"/>
    <w:qFormat/>
    <w:rPr>
      <w:rFonts w:ascii="Arial" w:hAnsi="Arial"/>
      <w:sz w:val="24"/>
      <w:u w:val="none"/>
    </w:rPr>
  </w:style>
  <w:style w:type="character" w:styleId="ListLabel38">
    <w:name w:val="ListLabel 38"/>
    <w:qFormat/>
    <w:rPr>
      <w:rFonts w:ascii="Arial" w:hAnsi="Arial"/>
      <w:sz w:val="24"/>
      <w:u w:val="none"/>
    </w:rPr>
  </w:style>
  <w:style w:type="character" w:styleId="ListLabel39">
    <w:name w:val="ListLabel 39"/>
    <w:qFormat/>
    <w:rPr>
      <w:u w:val="none"/>
    </w:rPr>
  </w:style>
  <w:style w:type="character" w:styleId="ListLabel40">
    <w:name w:val="ListLabel 40"/>
    <w:qFormat/>
    <w:rPr>
      <w:u w:val="none"/>
    </w:rPr>
  </w:style>
  <w:style w:type="character" w:styleId="ListLabel41">
    <w:name w:val="ListLabel 41"/>
    <w:qFormat/>
    <w:rPr>
      <w:u w:val="none"/>
    </w:rPr>
  </w:style>
  <w:style w:type="character" w:styleId="ListLabel42">
    <w:name w:val="ListLabel 42"/>
    <w:qFormat/>
    <w:rPr>
      <w:u w:val="none"/>
    </w:rPr>
  </w:style>
  <w:style w:type="character" w:styleId="ListLabel43">
    <w:name w:val="ListLabel 43"/>
    <w:qFormat/>
    <w:rPr>
      <w:u w:val="none"/>
    </w:rPr>
  </w:style>
  <w:style w:type="character" w:styleId="ListLabel44">
    <w:name w:val="ListLabel 44"/>
    <w:qFormat/>
    <w:rPr>
      <w:u w:val="none"/>
    </w:rPr>
  </w:style>
  <w:style w:type="character" w:styleId="ListLabel45">
    <w:name w:val="ListLabel 45"/>
    <w:qFormat/>
    <w:rPr>
      <w:u w:val="none"/>
    </w:rPr>
  </w:style>
  <w:style w:type="character" w:styleId="ListLabel46">
    <w:name w:val="ListLabel 46"/>
    <w:qFormat/>
    <w:rPr>
      <w:u w:val="none"/>
    </w:rPr>
  </w:style>
  <w:style w:type="character" w:styleId="ListLabel47">
    <w:name w:val="ListLabel 47"/>
    <w:qFormat/>
    <w:rPr>
      <w:u w:val="none"/>
    </w:rPr>
  </w:style>
  <w:style w:type="character" w:styleId="ListLabel48">
    <w:name w:val="ListLabel 48"/>
    <w:qFormat/>
    <w:rPr>
      <w:u w:val="none"/>
    </w:rPr>
  </w:style>
  <w:style w:type="character" w:styleId="ListLabel49">
    <w:name w:val="ListLabel 49"/>
    <w:qFormat/>
    <w:rPr>
      <w:u w:val="none"/>
    </w:rPr>
  </w:style>
  <w:style w:type="character" w:styleId="ListLabel50">
    <w:name w:val="ListLabel 50"/>
    <w:qFormat/>
    <w:rPr>
      <w:u w:val="none"/>
    </w:rPr>
  </w:style>
  <w:style w:type="character" w:styleId="ListLabel51">
    <w:name w:val="ListLabel 51"/>
    <w:qFormat/>
    <w:rPr>
      <w:u w:val="none"/>
    </w:rPr>
  </w:style>
  <w:style w:type="character" w:styleId="ListLabel52">
    <w:name w:val="ListLabel 52"/>
    <w:qFormat/>
    <w:rPr>
      <w:u w:val="none"/>
    </w:rPr>
  </w:style>
  <w:style w:type="character" w:styleId="ListLabel53">
    <w:name w:val="ListLabel 53"/>
    <w:qFormat/>
    <w:rPr>
      <w:u w:val="none"/>
    </w:rPr>
  </w:style>
  <w:style w:type="character" w:styleId="ListLabel54">
    <w:name w:val="ListLabel 54"/>
    <w:qFormat/>
    <w:rPr>
      <w:u w:val="none"/>
    </w:rPr>
  </w:style>
  <w:style w:type="character" w:styleId="ListLabel55">
    <w:name w:val="ListLabel 55"/>
    <w:qFormat/>
    <w:rPr>
      <w:rFonts w:ascii="Arial" w:hAnsi="Arial" w:cs="Wingdings"/>
      <w:sz w:val="24"/>
      <w:u w:val="none"/>
    </w:rPr>
  </w:style>
  <w:style w:type="character" w:styleId="ListLabel56">
    <w:name w:val="ListLabel 56"/>
    <w:qFormat/>
    <w:rPr>
      <w:rFonts w:ascii="Arial" w:hAnsi="Arial" w:cs="Wingdings 2"/>
      <w:sz w:val="24"/>
      <w:u w:val="none"/>
    </w:rPr>
  </w:style>
  <w:style w:type="character" w:styleId="ListLabel57">
    <w:name w:val="ListLabel 57"/>
    <w:qFormat/>
    <w:rPr>
      <w:rFonts w:cs="OpenSymbol"/>
      <w:u w:val="none"/>
    </w:rPr>
  </w:style>
  <w:style w:type="character" w:styleId="ListLabel58">
    <w:name w:val="ListLabel 58"/>
    <w:qFormat/>
    <w:rPr>
      <w:rFonts w:cs="Wingdings"/>
      <w:u w:val="none"/>
    </w:rPr>
  </w:style>
  <w:style w:type="character" w:styleId="ListLabel59">
    <w:name w:val="ListLabel 59"/>
    <w:qFormat/>
    <w:rPr>
      <w:rFonts w:cs="Wingdings 2"/>
      <w:u w:val="none"/>
    </w:rPr>
  </w:style>
  <w:style w:type="character" w:styleId="ListLabel60">
    <w:name w:val="ListLabel 60"/>
    <w:qFormat/>
    <w:rPr>
      <w:rFonts w:cs="OpenSymbol"/>
      <w:u w:val="none"/>
    </w:rPr>
  </w:style>
  <w:style w:type="character" w:styleId="ListLabel61">
    <w:name w:val="ListLabel 61"/>
    <w:qFormat/>
    <w:rPr>
      <w:rFonts w:cs="Wingdings"/>
      <w:u w:val="none"/>
    </w:rPr>
  </w:style>
  <w:style w:type="character" w:styleId="ListLabel62">
    <w:name w:val="ListLabel 62"/>
    <w:qFormat/>
    <w:rPr>
      <w:rFonts w:cs="Wingdings 2"/>
      <w:u w:val="none"/>
    </w:rPr>
  </w:style>
  <w:style w:type="character" w:styleId="ListLabel63">
    <w:name w:val="ListLabel 63"/>
    <w:qFormat/>
    <w:rPr>
      <w:rFonts w:cs="OpenSymbol"/>
      <w:u w:val="none"/>
    </w:rPr>
  </w:style>
  <w:style w:type="character" w:styleId="ListLabel64">
    <w:name w:val="ListLabel 64"/>
    <w:qFormat/>
    <w:rPr>
      <w:rFonts w:cs="Wingdings"/>
      <w:sz w:val="24"/>
      <w:u w:val="none"/>
    </w:rPr>
  </w:style>
  <w:style w:type="character" w:styleId="ListLabel65">
    <w:name w:val="ListLabel 65"/>
    <w:qFormat/>
    <w:rPr>
      <w:rFonts w:ascii="Arial" w:hAnsi="Arial" w:cs="Wingdings 2"/>
      <w:sz w:val="24"/>
      <w:u w:val="none"/>
    </w:rPr>
  </w:style>
  <w:style w:type="character" w:styleId="ListLabel66">
    <w:name w:val="ListLabel 66"/>
    <w:qFormat/>
    <w:rPr>
      <w:rFonts w:cs="OpenSymbol"/>
      <w:u w:val="none"/>
    </w:rPr>
  </w:style>
  <w:style w:type="character" w:styleId="ListLabel67">
    <w:name w:val="ListLabel 67"/>
    <w:qFormat/>
    <w:rPr>
      <w:rFonts w:cs="Wingdings"/>
      <w:u w:val="none"/>
    </w:rPr>
  </w:style>
  <w:style w:type="character" w:styleId="ListLabel68">
    <w:name w:val="ListLabel 68"/>
    <w:qFormat/>
    <w:rPr>
      <w:rFonts w:cs="Wingdings 2"/>
      <w:u w:val="none"/>
    </w:rPr>
  </w:style>
  <w:style w:type="character" w:styleId="ListLabel69">
    <w:name w:val="ListLabel 69"/>
    <w:qFormat/>
    <w:rPr>
      <w:rFonts w:cs="OpenSymbol"/>
      <w:u w:val="none"/>
    </w:rPr>
  </w:style>
  <w:style w:type="character" w:styleId="ListLabel70">
    <w:name w:val="ListLabel 70"/>
    <w:qFormat/>
    <w:rPr>
      <w:rFonts w:cs="Wingdings"/>
      <w:u w:val="none"/>
    </w:rPr>
  </w:style>
  <w:style w:type="character" w:styleId="ListLabel71">
    <w:name w:val="ListLabel 71"/>
    <w:qFormat/>
    <w:rPr>
      <w:rFonts w:cs="Wingdings 2"/>
      <w:u w:val="none"/>
    </w:rPr>
  </w:style>
  <w:style w:type="character" w:styleId="ListLabel72">
    <w:name w:val="ListLabel 72"/>
    <w:qFormat/>
    <w:rPr>
      <w:rFonts w:cs="OpenSymbol"/>
      <w:u w:val="none"/>
    </w:rPr>
  </w:style>
  <w:style w:type="paragraph" w:styleId="Ttulo">
    <w:name w:val="Título"/>
    <w:basedOn w:val="Normal"/>
    <w:next w:val="Corpodotexto"/>
    <w:qFormat/>
    <w:pPr>
      <w:keepNext w:val="true"/>
      <w:spacing w:before="240" w:after="120"/>
    </w:pPr>
    <w:rPr>
      <w:rFonts w:ascii="Arial" w:hAnsi="Arial" w:eastAsia="Microsoft YaHei" w:cs="Ari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Ttulododocumento">
    <w:name w:val="Title"/>
    <w:basedOn w:val="Normal"/>
    <w:next w:val="Normal"/>
    <w:uiPriority w:val="10"/>
    <w:qFormat/>
    <w:rsid w:val="002500bd"/>
    <w:pPr>
      <w:keepNext w:val="true"/>
      <w:keepLines/>
      <w:spacing w:before="480" w:after="120"/>
    </w:pPr>
    <w:rPr>
      <w:b/>
      <w:sz w:val="72"/>
      <w:szCs w:val="72"/>
    </w:rPr>
  </w:style>
  <w:style w:type="paragraph" w:styleId="Cabealho">
    <w:name w:val="Header"/>
    <w:basedOn w:val="Normal"/>
    <w:link w:val="CabealhoChar"/>
    <w:uiPriority w:val="99"/>
    <w:unhideWhenUsed/>
    <w:rsid w:val="00523131"/>
    <w:pPr>
      <w:tabs>
        <w:tab w:val="clear" w:pos="720"/>
        <w:tab w:val="center" w:pos="4252" w:leader="none"/>
        <w:tab w:val="right" w:pos="8504" w:leader="none"/>
      </w:tabs>
      <w:spacing w:lineRule="auto" w:line="240" w:before="0" w:after="0"/>
    </w:pPr>
    <w:rPr/>
  </w:style>
  <w:style w:type="paragraph" w:styleId="Rodap">
    <w:name w:val="Footer"/>
    <w:basedOn w:val="Normal"/>
    <w:link w:val="RodapChar"/>
    <w:uiPriority w:val="99"/>
    <w:unhideWhenUsed/>
    <w:rsid w:val="00523131"/>
    <w:pPr>
      <w:tabs>
        <w:tab w:val="clear" w:pos="720"/>
        <w:tab w:val="center" w:pos="4252" w:leader="none"/>
        <w:tab w:val="right" w:pos="8504" w:leader="none"/>
      </w:tabs>
      <w:spacing w:lineRule="auto" w:line="240" w:before="0" w:after="0"/>
    </w:pPr>
    <w:rPr/>
  </w:style>
  <w:style w:type="paragraph" w:styleId="Subttulo">
    <w:name w:val="Subtitle"/>
    <w:basedOn w:val="Normal"/>
    <w:next w:val="Normal"/>
    <w:uiPriority w:val="11"/>
    <w:qFormat/>
    <w:rsid w:val="002500bd"/>
    <w:pPr>
      <w:keepNext w:val="true"/>
      <w:keepLines/>
      <w:spacing w:before="360" w:after="80"/>
    </w:pPr>
    <w:rPr>
      <w:rFonts w:ascii="Georgia" w:hAnsi="Georgia" w:eastAsia="Georgia" w:cs="Georgia"/>
      <w:i/>
      <w:color w:val="666666"/>
      <w:sz w:val="48"/>
      <w:szCs w:val="48"/>
    </w:rPr>
  </w:style>
  <w:style w:type="paragraph" w:styleId="Textjustify" w:customStyle="1">
    <w:name w:val="text-justify"/>
    <w:basedOn w:val="Normal"/>
    <w:qFormat/>
    <w:rsid w:val="00222b90"/>
    <w:pPr>
      <w:spacing w:lineRule="auto" w:line="240" w:beforeAutospacing="1" w:afterAutospacing="1"/>
    </w:pPr>
    <w:rPr>
      <w:rFonts w:ascii="Times New Roman" w:hAnsi="Times New Roman" w:eastAsia="Times New Roman" w:cs="Times New Roman"/>
      <w:sz w:val="24"/>
      <w:szCs w:val="24"/>
    </w:rPr>
  </w:style>
  <w:style w:type="paragraph" w:styleId="NormalWeb">
    <w:name w:val="Normal (Web)"/>
    <w:basedOn w:val="Normal"/>
    <w:uiPriority w:val="99"/>
    <w:semiHidden/>
    <w:unhideWhenUsed/>
    <w:qFormat/>
    <w:rsid w:val="00222b90"/>
    <w:pPr>
      <w:spacing w:lineRule="auto" w:line="240" w:beforeAutospacing="1" w:afterAutospacing="1"/>
    </w:pPr>
    <w:rPr>
      <w:rFonts w:ascii="Times New Roman" w:hAnsi="Times New Roman" w:eastAsia="Times New Roman" w:cs="Times New Roman"/>
      <w:sz w:val="24"/>
      <w:szCs w:val="24"/>
    </w:rPr>
  </w:style>
  <w:style w:type="paragraph" w:styleId="Textcenter" w:customStyle="1">
    <w:name w:val="text-center"/>
    <w:basedOn w:val="Normal"/>
    <w:qFormat/>
    <w:rsid w:val="00222b90"/>
    <w:pPr>
      <w:spacing w:lineRule="auto" w:line="240" w:beforeAutospacing="1" w:afterAutospacing="1"/>
    </w:pPr>
    <w:rPr>
      <w:rFonts w:ascii="Times New Roman" w:hAnsi="Times New Roman" w:eastAsia="Times New Roman" w:cs="Times New Roman"/>
      <w:sz w:val="24"/>
      <w:szCs w:val="24"/>
    </w:rPr>
  </w:style>
  <w:style w:type="paragraph" w:styleId="ListParagraph">
    <w:name w:val="List Paragraph"/>
    <w:basedOn w:val="Normal"/>
    <w:uiPriority w:val="34"/>
    <w:qFormat/>
    <w:rsid w:val="002d77c0"/>
    <w:pPr>
      <w:spacing w:before="0" w:after="160"/>
      <w:ind w:left="720" w:hanging="0"/>
      <w:contextualSpacing/>
    </w:pPr>
    <w:rPr/>
  </w:style>
  <w:style w:type="paragraph" w:styleId="BalloonText">
    <w:name w:val="Balloon Text"/>
    <w:basedOn w:val="Normal"/>
    <w:link w:val="TextodebaloChar"/>
    <w:uiPriority w:val="99"/>
    <w:semiHidden/>
    <w:unhideWhenUsed/>
    <w:qFormat/>
    <w:rsid w:val="0023277c"/>
    <w:pPr>
      <w:spacing w:lineRule="auto" w:line="240" w:before="0" w:after="0"/>
    </w:pPr>
    <w:rPr>
      <w:rFonts w:ascii="Tahoma" w:hAnsi="Tahoma" w:cs="Tahoma"/>
      <w:sz w:val="16"/>
      <w:szCs w:val="16"/>
    </w:rPr>
  </w:style>
  <w:style w:type="paragraph" w:styleId="Contedodoquadro">
    <w:name w:val="Conteúdo do quadro"/>
    <w:basedOn w:val="Normal"/>
    <w:qFormat/>
    <w:pPr/>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0">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1">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2">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3">
    <w:name w:val="Table Normal"/>
    <w:rsid w:val="002500bd"/>
    <w:pPr>
      <w:spacing w:after="160" w:line="259" w:lineRule="auto"/>
    </w:pPr>
    <w:rPr>
      <w:sz w:val="22"/>
      <w:szCs w:val="22"/>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footer1.xml.rels><?xml version="1.0" encoding="UTF-8"?>
<Relationships xmlns="http://schemas.openxmlformats.org/package/2006/relationships"><Relationship Id="rId1" Type="http://schemas.openxmlformats.org/officeDocument/2006/relationships/image" Target="media/image5.png"/>
</Relationships>
</file>

<file path=word/_rels/footer2.xml.rels><?xml version="1.0" encoding="UTF-8"?>
<Relationships xmlns="http://schemas.openxmlformats.org/package/2006/relationships"><Relationship Id="rId1" Type="http://schemas.openxmlformats.org/officeDocument/2006/relationships/image" Target="media/image6.png"/>
</Relationships>
</file>

<file path=word/_rels/header1.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
</Relationships>
</file>

<file path=word/_rels/header2.xml.rels><?xml version="1.0" encoding="UTF-8"?>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1338</TotalTime>
  <Application>Neat_Office/6.2.8.2$Windows_x86 LibreOffice_project/</Application>
  <Pages>7</Pages>
  <Words>1652</Words>
  <Characters>9595</Characters>
  <CharactersWithSpaces>11225</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2025-02-07T00:59:00Z</dcterms:created>
  <dc:creator>j wludarski</dc:creator>
  <dc:description/>
  <dc:language>pt-BR</dc:language>
  <cp:lastModifiedBy/>
  <dcterms:modified xsi:type="dcterms:W3CDTF">2025-05-12T20:55:13Z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