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E9F51" w14:textId="77777777" w:rsidR="00035C24" w:rsidRDefault="00000000">
      <w:pPr>
        <w:spacing w:before="240" w:after="240"/>
        <w:jc w:val="both"/>
        <w:rPr>
          <w:rFonts w:ascii="Arial" w:eastAsia="Arial" w:hAnsi="Arial" w:cs="Arial"/>
          <w:sz w:val="24"/>
          <w:szCs w:val="24"/>
        </w:rPr>
      </w:pPr>
      <w:r>
        <w:rPr>
          <w:rFonts w:ascii="Arial" w:eastAsia="Arial" w:hAnsi="Arial" w:cs="Arial"/>
          <w:b/>
          <w:sz w:val="24"/>
          <w:szCs w:val="24"/>
        </w:rPr>
        <w:t xml:space="preserve">Título: </w:t>
      </w:r>
      <w:r>
        <w:rPr>
          <w:rFonts w:ascii="Arial" w:eastAsia="Arial" w:hAnsi="Arial" w:cs="Arial"/>
          <w:sz w:val="24"/>
          <w:szCs w:val="24"/>
        </w:rPr>
        <w:t xml:space="preserve">A afirmação da identidade Guarani Mbya no contexto do Colégio Indígena Estadual Guarani </w:t>
      </w:r>
      <w:proofErr w:type="spellStart"/>
      <w:r>
        <w:rPr>
          <w:rFonts w:ascii="Arial" w:eastAsia="Arial" w:hAnsi="Arial" w:cs="Arial"/>
          <w:sz w:val="24"/>
          <w:szCs w:val="24"/>
        </w:rPr>
        <w:t>Karai</w:t>
      </w:r>
      <w:proofErr w:type="spellEnd"/>
      <w:r>
        <w:rPr>
          <w:rFonts w:ascii="Arial" w:eastAsia="Arial" w:hAnsi="Arial" w:cs="Arial"/>
          <w:sz w:val="24"/>
          <w:szCs w:val="24"/>
        </w:rPr>
        <w:t xml:space="preserve"> </w:t>
      </w:r>
      <w:proofErr w:type="spellStart"/>
      <w:r>
        <w:rPr>
          <w:rFonts w:ascii="Arial" w:eastAsia="Arial" w:hAnsi="Arial" w:cs="Arial"/>
          <w:sz w:val="24"/>
          <w:szCs w:val="24"/>
        </w:rPr>
        <w:t>Kuery</w:t>
      </w:r>
      <w:proofErr w:type="spellEnd"/>
      <w:r>
        <w:rPr>
          <w:rFonts w:ascii="Arial" w:eastAsia="Arial" w:hAnsi="Arial" w:cs="Arial"/>
          <w:sz w:val="24"/>
          <w:szCs w:val="24"/>
        </w:rPr>
        <w:t xml:space="preserve"> Renda</w:t>
      </w:r>
    </w:p>
    <w:p w14:paraId="41B2A9C9" w14:textId="4DC2ABB6" w:rsidR="00035C24" w:rsidRDefault="00000000">
      <w:pPr>
        <w:spacing w:before="240" w:after="240"/>
        <w:jc w:val="both"/>
        <w:rPr>
          <w:rFonts w:ascii="Arial" w:eastAsia="Arial" w:hAnsi="Arial" w:cs="Arial"/>
          <w:sz w:val="24"/>
          <w:szCs w:val="24"/>
        </w:rPr>
      </w:pPr>
      <w:r>
        <w:rPr>
          <w:rFonts w:ascii="Arial" w:eastAsia="Arial" w:hAnsi="Arial" w:cs="Arial"/>
          <w:b/>
          <w:sz w:val="24"/>
          <w:szCs w:val="24"/>
        </w:rPr>
        <w:t xml:space="preserve">Autor: </w:t>
      </w:r>
      <w:r>
        <w:rPr>
          <w:rFonts w:ascii="Arial" w:eastAsia="Arial" w:hAnsi="Arial" w:cs="Arial"/>
          <w:sz w:val="24"/>
          <w:szCs w:val="24"/>
        </w:rPr>
        <w:t xml:space="preserve">Daniel Pinto Costa, Universidade Federal Fluminense, </w:t>
      </w:r>
      <w:hyperlink r:id="rId7">
        <w:r>
          <w:rPr>
            <w:rFonts w:ascii="Arial" w:eastAsia="Arial" w:hAnsi="Arial" w:cs="Arial"/>
            <w:color w:val="0000FF"/>
            <w:sz w:val="24"/>
            <w:szCs w:val="24"/>
            <w:u w:val="single"/>
          </w:rPr>
          <w:t>daniel_c@id.uff.br</w:t>
        </w:r>
      </w:hyperlink>
      <w:r>
        <w:rPr>
          <w:rFonts w:ascii="Arial" w:eastAsia="Arial" w:hAnsi="Arial" w:cs="Arial"/>
          <w:sz w:val="24"/>
          <w:szCs w:val="24"/>
        </w:rPr>
        <w:t xml:space="preserve">. Gabriel Santana Costa </w:t>
      </w:r>
      <w:proofErr w:type="spellStart"/>
      <w:r>
        <w:rPr>
          <w:rFonts w:ascii="Arial" w:eastAsia="Arial" w:hAnsi="Arial" w:cs="Arial"/>
          <w:sz w:val="24"/>
          <w:szCs w:val="24"/>
        </w:rPr>
        <w:t>Ambrosio</w:t>
      </w:r>
      <w:proofErr w:type="spellEnd"/>
      <w:r>
        <w:rPr>
          <w:rFonts w:ascii="Arial" w:eastAsia="Arial" w:hAnsi="Arial" w:cs="Arial"/>
          <w:sz w:val="24"/>
          <w:szCs w:val="24"/>
        </w:rPr>
        <w:t xml:space="preserve">, Universidade Federal Fluminense, </w:t>
      </w:r>
      <w:hyperlink r:id="rId8">
        <w:r>
          <w:rPr>
            <w:rFonts w:ascii="Arial" w:eastAsia="Arial" w:hAnsi="Arial" w:cs="Arial"/>
            <w:color w:val="0000FF"/>
            <w:sz w:val="24"/>
            <w:szCs w:val="24"/>
            <w:u w:val="single"/>
          </w:rPr>
          <w:t>gambrosio@id.uff.br</w:t>
        </w:r>
      </w:hyperlink>
      <w:r>
        <w:rPr>
          <w:rFonts w:ascii="Arial" w:eastAsia="Arial" w:hAnsi="Arial" w:cs="Arial"/>
          <w:sz w:val="24"/>
          <w:szCs w:val="24"/>
        </w:rPr>
        <w:t xml:space="preserve">. Milene Rosa Vicente Luiz, Universidade Federal Fluminense, </w:t>
      </w:r>
      <w:hyperlink r:id="rId9">
        <w:r>
          <w:rPr>
            <w:rFonts w:ascii="Arial" w:eastAsia="Arial" w:hAnsi="Arial" w:cs="Arial"/>
            <w:color w:val="0000FF"/>
            <w:sz w:val="24"/>
            <w:szCs w:val="24"/>
            <w:u w:val="single"/>
          </w:rPr>
          <w:t>milener@id.uff.br</w:t>
        </w:r>
      </w:hyperlink>
      <w:r>
        <w:rPr>
          <w:rFonts w:ascii="Arial" w:eastAsia="Arial" w:hAnsi="Arial" w:cs="Arial"/>
          <w:sz w:val="24"/>
          <w:szCs w:val="24"/>
        </w:rPr>
        <w:t xml:space="preserve">. Victor </w:t>
      </w:r>
      <w:proofErr w:type="gramStart"/>
      <w:r>
        <w:rPr>
          <w:rFonts w:ascii="Arial" w:eastAsia="Arial" w:hAnsi="Arial" w:cs="Arial"/>
          <w:sz w:val="24"/>
          <w:szCs w:val="24"/>
        </w:rPr>
        <w:t>Leonardo  Silva</w:t>
      </w:r>
      <w:proofErr w:type="gramEnd"/>
      <w:r>
        <w:rPr>
          <w:rFonts w:ascii="Arial" w:eastAsia="Arial" w:hAnsi="Arial" w:cs="Arial"/>
          <w:sz w:val="24"/>
          <w:szCs w:val="24"/>
        </w:rPr>
        <w:t xml:space="preserve"> Santos, Universidade Federal Fluminense, </w:t>
      </w:r>
      <w:hyperlink r:id="rId10" w:history="1">
        <w:r w:rsidR="00C06FFE" w:rsidRPr="009A70B0">
          <w:rPr>
            <w:rStyle w:val="Hyperlink"/>
            <w:rFonts w:ascii="Arial" w:eastAsia="Arial" w:hAnsi="Arial" w:cs="Arial"/>
            <w:sz w:val="24"/>
            <w:szCs w:val="24"/>
          </w:rPr>
          <w:t>vleonardo@id.uff.br</w:t>
        </w:r>
      </w:hyperlink>
      <w:r w:rsidR="00C06FFE">
        <w:rPr>
          <w:rFonts w:ascii="Arial" w:eastAsia="Arial" w:hAnsi="Arial" w:cs="Arial"/>
          <w:color w:val="0000FF"/>
          <w:sz w:val="24"/>
          <w:szCs w:val="24"/>
        </w:rPr>
        <w:t xml:space="preserve"> </w:t>
      </w:r>
      <w:r w:rsidR="00C06FFE" w:rsidRPr="00C06FFE">
        <w:rPr>
          <w:rFonts w:ascii="Arial" w:eastAsia="Arial" w:hAnsi="Arial" w:cs="Arial"/>
          <w:sz w:val="24"/>
          <w:szCs w:val="24"/>
        </w:rPr>
        <w:t>Sara</w:t>
      </w:r>
      <w:r w:rsidR="00C06FFE">
        <w:rPr>
          <w:rFonts w:ascii="Arial" w:eastAsia="Arial" w:hAnsi="Arial" w:cs="Arial"/>
          <w:sz w:val="24"/>
          <w:szCs w:val="24"/>
        </w:rPr>
        <w:t xml:space="preserve"> Cristina de Almeida Santos, Universidade Federal Fluminense, </w:t>
      </w:r>
      <w:r w:rsidR="00C06FFE" w:rsidRPr="00C06FFE">
        <w:rPr>
          <w:rFonts w:ascii="Arial" w:eastAsia="Arial" w:hAnsi="Arial" w:cs="Arial"/>
          <w:color w:val="0000FF"/>
          <w:sz w:val="24"/>
          <w:szCs w:val="24"/>
          <w:u w:val="single"/>
        </w:rPr>
        <w:t>saraalmeida@id.uff.br</w:t>
      </w:r>
      <w:r>
        <w:rPr>
          <w:rFonts w:ascii="Arial" w:eastAsia="Arial" w:hAnsi="Arial" w:cs="Arial"/>
          <w:sz w:val="24"/>
          <w:szCs w:val="24"/>
        </w:rPr>
        <w:t xml:space="preserve"> Vinicius Guimarães Ribeiro, Universidade Federal Fluminense, </w:t>
      </w:r>
      <w:hyperlink r:id="rId11">
        <w:r>
          <w:rPr>
            <w:rFonts w:ascii="Arial" w:eastAsia="Arial" w:hAnsi="Arial" w:cs="Arial"/>
            <w:color w:val="0000FF"/>
            <w:sz w:val="24"/>
            <w:szCs w:val="24"/>
            <w:u w:val="single"/>
          </w:rPr>
          <w:t>vgribeiro@id.uff.br</w:t>
        </w:r>
      </w:hyperlink>
      <w:r>
        <w:rPr>
          <w:rFonts w:ascii="Arial" w:eastAsia="Arial" w:hAnsi="Arial" w:cs="Arial"/>
          <w:sz w:val="24"/>
          <w:szCs w:val="24"/>
        </w:rPr>
        <w:t xml:space="preserve">.  </w:t>
      </w:r>
      <w:r>
        <w:rPr>
          <w:noProof/>
        </w:rPr>
        <mc:AlternateContent>
          <mc:Choice Requires="wpg">
            <w:drawing>
              <wp:inline distT="0" distB="0" distL="0" distR="0" wp14:anchorId="2AA86436" wp14:editId="19192DA2">
                <wp:extent cx="5769610" cy="28575"/>
                <wp:effectExtent l="0" t="0" r="0" b="0"/>
                <wp:docPr id="11" name="Retângulo 11"/>
                <wp:cNvGraphicFramePr/>
                <a:graphic xmlns:a="http://schemas.openxmlformats.org/drawingml/2006/main">
                  <a:graphicData uri="http://schemas.microsoft.com/office/word/2010/wordprocessingShape">
                    <wps:wsp>
                      <wps:cNvSpPr/>
                      <wps:spPr>
                        <a:xfrm>
                          <a:off x="2466000" y="3770460"/>
                          <a:ext cx="5760000" cy="19080"/>
                        </a:xfrm>
                        <a:prstGeom prst="rect">
                          <a:avLst/>
                        </a:prstGeom>
                        <a:solidFill>
                          <a:srgbClr val="A0A0A0"/>
                        </a:solidFill>
                        <a:ln>
                          <a:noFill/>
                        </a:ln>
                      </wps:spPr>
                      <wps:txbx>
                        <w:txbxContent>
                          <w:p w14:paraId="6AEE65E9" w14:textId="77777777" w:rsidR="00035C24" w:rsidRDefault="00035C24">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769610" cy="28575"/>
                <wp:effectExtent b="0" l="0" r="0" t="0"/>
                <wp:docPr id="11"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5769610" cy="28575"/>
                        </a:xfrm>
                        <a:prstGeom prst="rect"/>
                        <a:ln/>
                      </pic:spPr>
                    </pic:pic>
                  </a:graphicData>
                </a:graphic>
              </wp:inline>
            </w:drawing>
          </mc:Fallback>
        </mc:AlternateContent>
      </w:r>
    </w:p>
    <w:p w14:paraId="7E28692B" w14:textId="77777777" w:rsidR="00035C24" w:rsidRDefault="00035C24">
      <w:pPr>
        <w:spacing w:before="240" w:after="240" w:line="360" w:lineRule="auto"/>
        <w:jc w:val="both"/>
        <w:rPr>
          <w:rFonts w:ascii="Arial" w:eastAsia="Arial" w:hAnsi="Arial" w:cs="Arial"/>
          <w:b/>
          <w:sz w:val="24"/>
          <w:szCs w:val="24"/>
        </w:rPr>
      </w:pPr>
    </w:p>
    <w:p w14:paraId="6F579F10" w14:textId="77777777" w:rsidR="00035C24" w:rsidRDefault="00000000">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0F7E202D" w14:textId="77777777" w:rsidR="00035C24" w:rsidRDefault="00000000">
      <w:pPr>
        <w:spacing w:before="240" w:after="240" w:line="360" w:lineRule="auto"/>
        <w:jc w:val="both"/>
        <w:rPr>
          <w:rFonts w:ascii="Arial" w:eastAsia="Arial" w:hAnsi="Arial" w:cs="Arial"/>
          <w:sz w:val="24"/>
          <w:szCs w:val="24"/>
        </w:rPr>
      </w:pPr>
      <w:r>
        <w:rPr>
          <w:rFonts w:ascii="Arial" w:eastAsia="Arial" w:hAnsi="Arial" w:cs="Arial"/>
          <w:sz w:val="24"/>
          <w:szCs w:val="24"/>
        </w:rPr>
        <w:t xml:space="preserve">Tratando-se da maior terra Indígena do Estado do Rio de Janeiro, demarcada em 1992 e homologada em 1995, este trabalho retrata o desdobramento da ocupação Indígena Guarani Mbya na cidade de Angra dos Reis - RJ. Abordando o histórico da comunidade, sua trajetória e suas lutas, sobretudo no que diz respeito pela demanda educacional diferenciada, construção </w:t>
      </w:r>
      <w:proofErr w:type="gramStart"/>
      <w:r>
        <w:rPr>
          <w:rFonts w:ascii="Arial" w:eastAsia="Arial" w:hAnsi="Arial" w:cs="Arial"/>
          <w:sz w:val="24"/>
          <w:szCs w:val="24"/>
        </w:rPr>
        <w:t>e  estruturação</w:t>
      </w:r>
      <w:proofErr w:type="gramEnd"/>
      <w:r>
        <w:rPr>
          <w:rFonts w:ascii="Arial" w:eastAsia="Arial" w:hAnsi="Arial" w:cs="Arial"/>
          <w:sz w:val="24"/>
          <w:szCs w:val="24"/>
        </w:rPr>
        <w:t xml:space="preserve"> do Colégio Indígena Estadual Guarani </w:t>
      </w:r>
      <w:proofErr w:type="spellStart"/>
      <w:r>
        <w:rPr>
          <w:rFonts w:ascii="Arial" w:eastAsia="Arial" w:hAnsi="Arial" w:cs="Arial"/>
          <w:sz w:val="24"/>
          <w:szCs w:val="24"/>
        </w:rPr>
        <w:t>Karai</w:t>
      </w:r>
      <w:proofErr w:type="spellEnd"/>
      <w:r>
        <w:rPr>
          <w:rFonts w:ascii="Arial" w:eastAsia="Arial" w:hAnsi="Arial" w:cs="Arial"/>
          <w:sz w:val="24"/>
          <w:szCs w:val="24"/>
        </w:rPr>
        <w:t xml:space="preserve"> </w:t>
      </w:r>
      <w:proofErr w:type="spellStart"/>
      <w:r>
        <w:rPr>
          <w:rFonts w:ascii="Arial" w:eastAsia="Arial" w:hAnsi="Arial" w:cs="Arial"/>
          <w:sz w:val="24"/>
          <w:szCs w:val="24"/>
        </w:rPr>
        <w:t>Kuery</w:t>
      </w:r>
      <w:proofErr w:type="spellEnd"/>
      <w:r>
        <w:rPr>
          <w:rFonts w:ascii="Arial" w:eastAsia="Arial" w:hAnsi="Arial" w:cs="Arial"/>
          <w:sz w:val="24"/>
          <w:szCs w:val="24"/>
        </w:rPr>
        <w:t xml:space="preserve"> Renda. Além disso, busca-se, também, discutir aspectos da formação e a construção de um currículo escolar diferenciado, assim como seu papel, tanto para a perpetuação da identidade, como a valorização e a afirmação da identidade existente no território. O Colégio, por estar inserido em um contexto de uma comunidade tradicional, se coloca em um local de importância para estruturação social e dinâmica </w:t>
      </w:r>
      <w:proofErr w:type="gramStart"/>
      <w:r>
        <w:rPr>
          <w:rFonts w:ascii="Arial" w:eastAsia="Arial" w:hAnsi="Arial" w:cs="Arial"/>
          <w:sz w:val="24"/>
          <w:szCs w:val="24"/>
        </w:rPr>
        <w:t>da mesma</w:t>
      </w:r>
      <w:proofErr w:type="gramEnd"/>
      <w:r>
        <w:rPr>
          <w:rFonts w:ascii="Arial" w:eastAsia="Arial" w:hAnsi="Arial" w:cs="Arial"/>
          <w:sz w:val="24"/>
          <w:szCs w:val="24"/>
        </w:rPr>
        <w:t xml:space="preserve">. Portanto, é impactada pelas transformações e dinâmicas da comunidade, ao mesmo modo em que está neste contexto como elemento articulador e dinamizador das relações espaciais na Terra Indígena do Bracuí, Aldeia </w:t>
      </w:r>
      <w:proofErr w:type="spellStart"/>
      <w:r>
        <w:rPr>
          <w:rFonts w:ascii="Arial" w:eastAsia="Arial" w:hAnsi="Arial" w:cs="Arial"/>
          <w:sz w:val="24"/>
          <w:szCs w:val="24"/>
        </w:rPr>
        <w:t>Sapukai</w:t>
      </w:r>
      <w:proofErr w:type="spellEnd"/>
      <w:r>
        <w:rPr>
          <w:rFonts w:ascii="Arial" w:eastAsia="Arial" w:hAnsi="Arial" w:cs="Arial"/>
          <w:sz w:val="24"/>
          <w:szCs w:val="24"/>
        </w:rPr>
        <w:t xml:space="preserve">. Tratando-se de uma Escola Indígena e, sobretudo de um povo que ainda preserva sua língua, a importância da existência de um currículo diferenciado dá-se para que, através da unidade escolar, seja possível preservar uma das principais coisas que fortalecem a cultura. Trazendo, matérias como a Língua Guarani, ministrado pelo Cacique </w:t>
      </w:r>
      <w:proofErr w:type="spellStart"/>
      <w:r>
        <w:rPr>
          <w:rFonts w:ascii="Arial" w:eastAsia="Arial" w:hAnsi="Arial" w:cs="Arial"/>
          <w:sz w:val="24"/>
          <w:szCs w:val="24"/>
        </w:rPr>
        <w:t>Algemiro</w:t>
      </w:r>
      <w:proofErr w:type="spellEnd"/>
      <w:r>
        <w:rPr>
          <w:rFonts w:ascii="Arial" w:eastAsia="Arial" w:hAnsi="Arial" w:cs="Arial"/>
          <w:sz w:val="24"/>
          <w:szCs w:val="24"/>
        </w:rPr>
        <w:t xml:space="preserve"> </w:t>
      </w:r>
      <w:proofErr w:type="spellStart"/>
      <w:r>
        <w:rPr>
          <w:rFonts w:ascii="Arial" w:eastAsia="Arial" w:hAnsi="Arial" w:cs="Arial"/>
          <w:sz w:val="24"/>
          <w:szCs w:val="24"/>
        </w:rPr>
        <w:t>Karai</w:t>
      </w:r>
      <w:proofErr w:type="spellEnd"/>
      <w:r>
        <w:rPr>
          <w:rFonts w:ascii="Arial" w:eastAsia="Arial" w:hAnsi="Arial" w:cs="Arial"/>
          <w:sz w:val="24"/>
          <w:szCs w:val="24"/>
        </w:rPr>
        <w:t xml:space="preserve"> Mirim, graduado mestre pelo Museu Nacional. A Escola Guarani busca pensar a educação sempre através do </w:t>
      </w:r>
      <w:proofErr w:type="spellStart"/>
      <w:r>
        <w:rPr>
          <w:rFonts w:ascii="Arial" w:eastAsia="Arial" w:hAnsi="Arial" w:cs="Arial"/>
          <w:sz w:val="24"/>
          <w:szCs w:val="24"/>
        </w:rPr>
        <w:t>Nhande</w:t>
      </w:r>
      <w:proofErr w:type="spellEnd"/>
      <w:r>
        <w:rPr>
          <w:rFonts w:ascii="Arial" w:eastAsia="Arial" w:hAnsi="Arial" w:cs="Arial"/>
          <w:sz w:val="24"/>
          <w:szCs w:val="24"/>
        </w:rPr>
        <w:t xml:space="preserve"> </w:t>
      </w:r>
      <w:proofErr w:type="spellStart"/>
      <w:r>
        <w:rPr>
          <w:rFonts w:ascii="Arial" w:eastAsia="Arial" w:hAnsi="Arial" w:cs="Arial"/>
          <w:sz w:val="24"/>
          <w:szCs w:val="24"/>
        </w:rPr>
        <w:t>Rekó</w:t>
      </w:r>
      <w:proofErr w:type="spellEnd"/>
      <w:r>
        <w:rPr>
          <w:rFonts w:ascii="Arial" w:eastAsia="Arial" w:hAnsi="Arial" w:cs="Arial"/>
          <w:sz w:val="24"/>
          <w:szCs w:val="24"/>
        </w:rPr>
        <w:t xml:space="preserve"> (modo de ser Guarani) como eixo central, devendo, deste modo, estar sempre presente na escola.</w:t>
      </w:r>
    </w:p>
    <w:p w14:paraId="74A51F75" w14:textId="77777777" w:rsidR="00035C24" w:rsidRDefault="00000000">
      <w:pPr>
        <w:spacing w:before="240" w:after="240" w:line="360" w:lineRule="auto"/>
        <w:jc w:val="both"/>
        <w:rPr>
          <w:rFonts w:ascii="Arial" w:eastAsia="Arial" w:hAnsi="Arial" w:cs="Arial"/>
          <w:sz w:val="24"/>
          <w:szCs w:val="24"/>
        </w:rPr>
      </w:pPr>
      <w:r>
        <w:rPr>
          <w:rFonts w:ascii="Arial" w:eastAsia="Arial" w:hAnsi="Arial" w:cs="Arial"/>
          <w:b/>
          <w:sz w:val="24"/>
          <w:szCs w:val="24"/>
        </w:rPr>
        <w:lastRenderedPageBreak/>
        <w:t>Palavras-chave:</w:t>
      </w:r>
      <w:r>
        <w:rPr>
          <w:rFonts w:ascii="Arial" w:eastAsia="Arial" w:hAnsi="Arial" w:cs="Arial"/>
          <w:sz w:val="24"/>
          <w:szCs w:val="24"/>
        </w:rPr>
        <w:t xml:space="preserve"> Currículo diferenciado; Guarani Mbya; Educação Indígena.</w:t>
      </w:r>
    </w:p>
    <w:p w14:paraId="7DB4C5C9" w14:textId="77777777" w:rsidR="00035C24" w:rsidRPr="00C06FFE" w:rsidRDefault="00000000">
      <w:pPr>
        <w:spacing w:before="240" w:after="240" w:line="360" w:lineRule="auto"/>
        <w:jc w:val="both"/>
        <w:rPr>
          <w:rFonts w:ascii="Arial" w:eastAsia="Arial" w:hAnsi="Arial" w:cs="Arial"/>
          <w:b/>
          <w:sz w:val="24"/>
          <w:szCs w:val="24"/>
          <w:lang w:val="en-US"/>
        </w:rPr>
      </w:pPr>
      <w:r w:rsidRPr="00C06FFE">
        <w:rPr>
          <w:rFonts w:ascii="Arial" w:eastAsia="Arial" w:hAnsi="Arial" w:cs="Arial"/>
          <w:b/>
          <w:sz w:val="24"/>
          <w:szCs w:val="24"/>
          <w:lang w:val="en-US"/>
        </w:rPr>
        <w:t>Abstract</w:t>
      </w:r>
    </w:p>
    <w:p w14:paraId="1B149AA5" w14:textId="77777777" w:rsidR="00035C24" w:rsidRPr="00C06FFE" w:rsidRDefault="00000000">
      <w:pPr>
        <w:spacing w:before="240" w:after="240" w:line="360" w:lineRule="auto"/>
        <w:jc w:val="both"/>
        <w:rPr>
          <w:rFonts w:ascii="Arial" w:eastAsia="Arial" w:hAnsi="Arial" w:cs="Arial"/>
          <w:sz w:val="24"/>
          <w:szCs w:val="24"/>
          <w:lang w:val="en-US"/>
        </w:rPr>
      </w:pPr>
      <w:r w:rsidRPr="00C06FFE">
        <w:rPr>
          <w:rFonts w:ascii="Arial" w:eastAsia="Arial" w:hAnsi="Arial" w:cs="Arial"/>
          <w:sz w:val="24"/>
          <w:szCs w:val="24"/>
          <w:lang w:val="en-US"/>
        </w:rPr>
        <w:t xml:space="preserve">As the largest indigenous land in the state of Rio de Janeiro, demarcated in 1992 and ratified in 1995, this work portrays the unfolding of the Guarani Mbya indigenous occupation in the city of Angra dos Reis - RJ. It looks at the history of the community, its trajectory and its struggles, especially </w:t>
      </w:r>
      <w:proofErr w:type="gramStart"/>
      <w:r w:rsidRPr="00C06FFE">
        <w:rPr>
          <w:rFonts w:ascii="Arial" w:eastAsia="Arial" w:hAnsi="Arial" w:cs="Arial"/>
          <w:sz w:val="24"/>
          <w:szCs w:val="24"/>
          <w:lang w:val="en-US"/>
        </w:rPr>
        <w:t>with regard to</w:t>
      </w:r>
      <w:proofErr w:type="gramEnd"/>
      <w:r w:rsidRPr="00C06FFE">
        <w:rPr>
          <w:rFonts w:ascii="Arial" w:eastAsia="Arial" w:hAnsi="Arial" w:cs="Arial"/>
          <w:sz w:val="24"/>
          <w:szCs w:val="24"/>
          <w:lang w:val="en-US"/>
        </w:rPr>
        <w:t xml:space="preserve"> differentiated educational demands and the construction and structuring of the Guarani Karai </w:t>
      </w:r>
      <w:proofErr w:type="spellStart"/>
      <w:r w:rsidRPr="00C06FFE">
        <w:rPr>
          <w:rFonts w:ascii="Arial" w:eastAsia="Arial" w:hAnsi="Arial" w:cs="Arial"/>
          <w:sz w:val="24"/>
          <w:szCs w:val="24"/>
          <w:lang w:val="en-US"/>
        </w:rPr>
        <w:t>Kuery</w:t>
      </w:r>
      <w:proofErr w:type="spellEnd"/>
      <w:r w:rsidRPr="00C06FFE">
        <w:rPr>
          <w:rFonts w:ascii="Arial" w:eastAsia="Arial" w:hAnsi="Arial" w:cs="Arial"/>
          <w:sz w:val="24"/>
          <w:szCs w:val="24"/>
          <w:lang w:val="en-US"/>
        </w:rPr>
        <w:t xml:space="preserve"> Renda State Indigenous College. It also seeks to discuss aspects of the formation and construction of a differentiated school curriculum, as well as its role both in perpetuating identity and in valuing and affirming the identity that exists in the territory. As the school is part of the context of a traditional community, it is an important place for its social structure and dynamics. Therefore, it is impacted by the transformations and dynamics of the community, at the same time as it is in this context as an articulating and dynamic element of spatial relations in the </w:t>
      </w:r>
      <w:proofErr w:type="spellStart"/>
      <w:r w:rsidRPr="00C06FFE">
        <w:rPr>
          <w:rFonts w:ascii="Arial" w:eastAsia="Arial" w:hAnsi="Arial" w:cs="Arial"/>
          <w:sz w:val="24"/>
          <w:szCs w:val="24"/>
          <w:lang w:val="en-US"/>
        </w:rPr>
        <w:t>Bracuí</w:t>
      </w:r>
      <w:proofErr w:type="spellEnd"/>
      <w:r w:rsidRPr="00C06FFE">
        <w:rPr>
          <w:rFonts w:ascii="Arial" w:eastAsia="Arial" w:hAnsi="Arial" w:cs="Arial"/>
          <w:sz w:val="24"/>
          <w:szCs w:val="24"/>
          <w:lang w:val="en-US"/>
        </w:rPr>
        <w:t xml:space="preserve"> Indigenous Land, </w:t>
      </w:r>
      <w:proofErr w:type="spellStart"/>
      <w:r w:rsidRPr="00C06FFE">
        <w:rPr>
          <w:rFonts w:ascii="Arial" w:eastAsia="Arial" w:hAnsi="Arial" w:cs="Arial"/>
          <w:sz w:val="24"/>
          <w:szCs w:val="24"/>
          <w:lang w:val="en-US"/>
        </w:rPr>
        <w:t>Sapukai</w:t>
      </w:r>
      <w:proofErr w:type="spellEnd"/>
      <w:r w:rsidRPr="00C06FFE">
        <w:rPr>
          <w:rFonts w:ascii="Arial" w:eastAsia="Arial" w:hAnsi="Arial" w:cs="Arial"/>
          <w:sz w:val="24"/>
          <w:szCs w:val="24"/>
          <w:lang w:val="en-US"/>
        </w:rPr>
        <w:t xml:space="preserve"> Village. As this is an indigenous school and, above all, a people who still preserve their language, it is important to have a differentiated curriculum so that, through the school unit, it is possible to preserve one of the main things that strengthens culture. It includes subjects such as the Guarani language, taught by Cacique </w:t>
      </w:r>
      <w:proofErr w:type="spellStart"/>
      <w:r w:rsidRPr="00C06FFE">
        <w:rPr>
          <w:rFonts w:ascii="Arial" w:eastAsia="Arial" w:hAnsi="Arial" w:cs="Arial"/>
          <w:sz w:val="24"/>
          <w:szCs w:val="24"/>
          <w:lang w:val="en-US"/>
        </w:rPr>
        <w:t>Algemiro</w:t>
      </w:r>
      <w:proofErr w:type="spellEnd"/>
      <w:r w:rsidRPr="00C06FFE">
        <w:rPr>
          <w:rFonts w:ascii="Arial" w:eastAsia="Arial" w:hAnsi="Arial" w:cs="Arial"/>
          <w:sz w:val="24"/>
          <w:szCs w:val="24"/>
          <w:lang w:val="en-US"/>
        </w:rPr>
        <w:t xml:space="preserve"> Karai Mirim, who has a master's degree from the National Museum. The Guarani School always tries to think of education through the </w:t>
      </w:r>
      <w:proofErr w:type="spellStart"/>
      <w:r w:rsidRPr="00C06FFE">
        <w:rPr>
          <w:rFonts w:ascii="Arial" w:eastAsia="Arial" w:hAnsi="Arial" w:cs="Arial"/>
          <w:sz w:val="24"/>
          <w:szCs w:val="24"/>
          <w:lang w:val="en-US"/>
        </w:rPr>
        <w:t>Nhande</w:t>
      </w:r>
      <w:proofErr w:type="spellEnd"/>
      <w:r w:rsidRPr="00C06FFE">
        <w:rPr>
          <w:rFonts w:ascii="Arial" w:eastAsia="Arial" w:hAnsi="Arial" w:cs="Arial"/>
          <w:sz w:val="24"/>
          <w:szCs w:val="24"/>
          <w:lang w:val="en-US"/>
        </w:rPr>
        <w:t xml:space="preserve"> </w:t>
      </w:r>
      <w:proofErr w:type="spellStart"/>
      <w:r w:rsidRPr="00C06FFE">
        <w:rPr>
          <w:rFonts w:ascii="Arial" w:eastAsia="Arial" w:hAnsi="Arial" w:cs="Arial"/>
          <w:sz w:val="24"/>
          <w:szCs w:val="24"/>
          <w:lang w:val="en-US"/>
        </w:rPr>
        <w:t>Rekó</w:t>
      </w:r>
      <w:proofErr w:type="spellEnd"/>
      <w:r w:rsidRPr="00C06FFE">
        <w:rPr>
          <w:rFonts w:ascii="Arial" w:eastAsia="Arial" w:hAnsi="Arial" w:cs="Arial"/>
          <w:sz w:val="24"/>
          <w:szCs w:val="24"/>
          <w:lang w:val="en-US"/>
        </w:rPr>
        <w:t xml:space="preserve"> (Guarani way of being) as the central axis, and it must therefore always be present in the school.</w:t>
      </w:r>
    </w:p>
    <w:p w14:paraId="007D71B4" w14:textId="77777777" w:rsidR="00035C24" w:rsidRPr="00C06FFE" w:rsidRDefault="00000000">
      <w:pPr>
        <w:spacing w:before="240" w:after="240" w:line="240" w:lineRule="auto"/>
        <w:jc w:val="both"/>
        <w:rPr>
          <w:rFonts w:ascii="Arial" w:eastAsia="Arial" w:hAnsi="Arial" w:cs="Arial"/>
          <w:sz w:val="24"/>
          <w:szCs w:val="24"/>
          <w:lang w:val="en-US"/>
        </w:rPr>
      </w:pPr>
      <w:r w:rsidRPr="00C06FFE">
        <w:rPr>
          <w:rFonts w:ascii="Arial" w:eastAsia="Arial" w:hAnsi="Arial" w:cs="Arial"/>
          <w:b/>
          <w:sz w:val="24"/>
          <w:szCs w:val="24"/>
          <w:lang w:val="en-US"/>
        </w:rPr>
        <w:t xml:space="preserve">Keywords: </w:t>
      </w:r>
      <w:r w:rsidRPr="00C06FFE">
        <w:rPr>
          <w:rFonts w:ascii="Arial" w:eastAsia="Arial" w:hAnsi="Arial" w:cs="Arial"/>
          <w:sz w:val="24"/>
          <w:szCs w:val="24"/>
          <w:lang w:val="en-US"/>
        </w:rPr>
        <w:t>Differentiated curriculum; Guarani Mbya; Indigenous education.</w:t>
      </w:r>
      <w:r>
        <w:rPr>
          <w:noProof/>
        </w:rPr>
        <mc:AlternateContent>
          <mc:Choice Requires="wpg">
            <w:drawing>
              <wp:inline distT="0" distB="0" distL="0" distR="0" wp14:anchorId="75F8544C" wp14:editId="52C6ED81">
                <wp:extent cx="5769610" cy="28575"/>
                <wp:effectExtent l="0" t="0" r="0" b="0"/>
                <wp:docPr id="10" name="Retângulo 10"/>
                <wp:cNvGraphicFramePr/>
                <a:graphic xmlns:a="http://schemas.openxmlformats.org/drawingml/2006/main">
                  <a:graphicData uri="http://schemas.microsoft.com/office/word/2010/wordprocessingShape">
                    <wps:wsp>
                      <wps:cNvSpPr/>
                      <wps:spPr>
                        <a:xfrm>
                          <a:off x="2466000" y="3770460"/>
                          <a:ext cx="5760000" cy="19080"/>
                        </a:xfrm>
                        <a:prstGeom prst="rect">
                          <a:avLst/>
                        </a:prstGeom>
                        <a:solidFill>
                          <a:srgbClr val="A0A0A0"/>
                        </a:solidFill>
                        <a:ln>
                          <a:noFill/>
                        </a:ln>
                      </wps:spPr>
                      <wps:txbx>
                        <w:txbxContent>
                          <w:p w14:paraId="64BCF771" w14:textId="77777777" w:rsidR="00035C24" w:rsidRDefault="00035C24">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769610" cy="28575"/>
                <wp:effectExtent b="0" l="0" r="0" t="0"/>
                <wp:docPr id="10" name="image4.png"/>
                <a:graphic>
                  <a:graphicData uri="http://schemas.openxmlformats.org/drawingml/2006/picture">
                    <pic:pic>
                      <pic:nvPicPr>
                        <pic:cNvPr id="0" name="image4.png"/>
                        <pic:cNvPicPr preferRelativeResize="0"/>
                      </pic:nvPicPr>
                      <pic:blipFill>
                        <a:blip r:embed="rId12"/>
                        <a:srcRect/>
                        <a:stretch>
                          <a:fillRect/>
                        </a:stretch>
                      </pic:blipFill>
                      <pic:spPr>
                        <a:xfrm>
                          <a:off x="0" y="0"/>
                          <a:ext cx="5769610" cy="28575"/>
                        </a:xfrm>
                        <a:prstGeom prst="rect"/>
                        <a:ln/>
                      </pic:spPr>
                    </pic:pic>
                  </a:graphicData>
                </a:graphic>
              </wp:inline>
            </w:drawing>
          </mc:Fallback>
        </mc:AlternateContent>
      </w:r>
    </w:p>
    <w:p w14:paraId="677FBDFC" w14:textId="77777777" w:rsidR="00035C24" w:rsidRPr="00C06FFE" w:rsidRDefault="00035C24">
      <w:pPr>
        <w:spacing w:before="200" w:after="200" w:line="360" w:lineRule="auto"/>
        <w:jc w:val="both"/>
        <w:rPr>
          <w:rFonts w:ascii="Times New Roman" w:eastAsia="Times New Roman" w:hAnsi="Times New Roman" w:cs="Times New Roman"/>
          <w:sz w:val="24"/>
          <w:szCs w:val="24"/>
          <w:lang w:val="en-US"/>
        </w:rPr>
      </w:pPr>
    </w:p>
    <w:sectPr w:rsidR="00035C24" w:rsidRPr="00C06FFE">
      <w:headerReference w:type="even" r:id="rId13"/>
      <w:headerReference w:type="default" r:id="rId14"/>
      <w:footerReference w:type="default" r:id="rId15"/>
      <w:headerReference w:type="first" r:id="rId16"/>
      <w:footerReference w:type="first" r:id="rId17"/>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71823" w14:textId="77777777" w:rsidR="00F963D7" w:rsidRDefault="00F963D7">
      <w:pPr>
        <w:spacing w:after="0" w:line="240" w:lineRule="auto"/>
      </w:pPr>
      <w:r>
        <w:separator/>
      </w:r>
    </w:p>
  </w:endnote>
  <w:endnote w:type="continuationSeparator" w:id="0">
    <w:p w14:paraId="1CB3D5EB" w14:textId="77777777" w:rsidR="00F963D7" w:rsidRDefault="00F96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ohit Devanagari">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F2A02" w14:textId="77777777" w:rsidR="00035C24" w:rsidRDefault="00000000">
    <w:pPr>
      <w:tabs>
        <w:tab w:val="center" w:pos="4252"/>
        <w:tab w:val="right" w:pos="8504"/>
      </w:tabs>
      <w:spacing w:after="0" w:line="240" w:lineRule="auto"/>
      <w:ind w:left="-1695"/>
      <w:rPr>
        <w:color w:val="000000"/>
      </w:rPr>
    </w:pPr>
    <w:r>
      <w:rPr>
        <w:noProof/>
      </w:rPr>
      <w:drawing>
        <wp:inline distT="0" distB="0" distL="0" distR="0" wp14:anchorId="5E067FA6" wp14:editId="3A5BDE91">
          <wp:extent cx="7844790" cy="209550"/>
          <wp:effectExtent l="0" t="0" r="0" 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844790" cy="209550"/>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37974" w14:textId="77777777" w:rsidR="00035C24" w:rsidRDefault="00000000">
    <w:pPr>
      <w:pBdr>
        <w:top w:val="nil"/>
        <w:left w:val="nil"/>
        <w:bottom w:val="nil"/>
        <w:right w:val="nil"/>
        <w:between w:val="nil"/>
      </w:pBdr>
      <w:tabs>
        <w:tab w:val="center" w:pos="4252"/>
        <w:tab w:val="right" w:pos="8504"/>
      </w:tabs>
      <w:spacing w:after="0" w:line="240" w:lineRule="auto"/>
      <w:ind w:left="-1701"/>
      <w:rPr>
        <w:color w:val="000000"/>
      </w:rPr>
    </w:pPr>
    <w:r>
      <w:rPr>
        <w:noProof/>
        <w:color w:val="000000"/>
      </w:rPr>
      <w:drawing>
        <wp:inline distT="0" distB="0" distL="0" distR="0" wp14:anchorId="6E8BD3A1" wp14:editId="0542B38A">
          <wp:extent cx="8392160" cy="224155"/>
          <wp:effectExtent l="0" t="0" r="0" b="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392160" cy="22415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BC3BB" w14:textId="77777777" w:rsidR="00F963D7" w:rsidRDefault="00F963D7">
      <w:pPr>
        <w:spacing w:after="0" w:line="240" w:lineRule="auto"/>
      </w:pPr>
      <w:r>
        <w:separator/>
      </w:r>
    </w:p>
  </w:footnote>
  <w:footnote w:type="continuationSeparator" w:id="0">
    <w:p w14:paraId="696C9D9D" w14:textId="77777777" w:rsidR="00F963D7" w:rsidRDefault="00F96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E1873" w14:textId="77777777" w:rsidR="00035C24" w:rsidRDefault="00000000">
    <w:pPr>
      <w:pBdr>
        <w:top w:val="nil"/>
        <w:left w:val="nil"/>
        <w:bottom w:val="nil"/>
        <w:right w:val="nil"/>
        <w:between w:val="nil"/>
      </w:pBdr>
      <w:tabs>
        <w:tab w:val="center" w:pos="4252"/>
        <w:tab w:val="right" w:pos="8504"/>
      </w:tabs>
      <w:spacing w:after="0" w:line="240" w:lineRule="auto"/>
      <w:rPr>
        <w:color w:val="000000"/>
      </w:rPr>
    </w:pPr>
    <w:r>
      <w:rPr>
        <w:noProof/>
        <w:color w:val="000000"/>
      </w:rPr>
      <w:drawing>
        <wp:anchor distT="0" distB="0" distL="0" distR="0" simplePos="0" relativeHeight="251662336" behindDoc="1" locked="0" layoutInCell="1" hidden="0" allowOverlap="1" wp14:anchorId="031E50D8" wp14:editId="3D1021B8">
          <wp:simplePos x="0" y="0"/>
          <wp:positionH relativeFrom="margin">
            <wp:align>center</wp:align>
          </wp:positionH>
          <wp:positionV relativeFrom="margin">
            <wp:align>center</wp:align>
          </wp:positionV>
          <wp:extent cx="5758200" cy="4017600"/>
          <wp:effectExtent l="0" t="0" r="0" b="0"/>
          <wp:wrapNone/>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758200" cy="4017600"/>
                  </a:xfrm>
                  <a:prstGeom prst="rect">
                    <a:avLst/>
                  </a:prstGeom>
                  <a:ln/>
                </pic:spPr>
              </pic:pic>
            </a:graphicData>
          </a:graphic>
        </wp:anchor>
      </w:drawing>
    </w:r>
    <w:r>
      <w:rPr>
        <w:color w:val="000000"/>
      </w:rPr>
      <w:fldChar w:fldCharType="begin"/>
    </w:r>
    <w:r>
      <w:rPr>
        <w:color w:val="000000"/>
      </w:rPr>
      <w:instrText>PAGE</w:instrText>
    </w:r>
    <w:r>
      <w:rPr>
        <w:color w:val="000000"/>
      </w:rPr>
      <w:fldChar w:fldCharType="separate"/>
    </w:r>
    <w:r>
      <w:rPr>
        <w:color w:val="000000"/>
      </w:rPr>
      <w:fldChar w:fldCharType="end"/>
    </w:r>
  </w:p>
  <w:p w14:paraId="643CC5D2" w14:textId="77777777" w:rsidR="00035C24" w:rsidRDefault="00035C24">
    <w:pPr>
      <w:pBdr>
        <w:top w:val="nil"/>
        <w:left w:val="nil"/>
        <w:bottom w:val="nil"/>
        <w:right w:val="nil"/>
        <w:between w:val="nil"/>
      </w:pBdr>
      <w:tabs>
        <w:tab w:val="center" w:pos="4252"/>
        <w:tab w:val="right" w:pos="8504"/>
      </w:tabs>
      <w:spacing w:after="0" w:line="240" w:lineRule="auto"/>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69F4D" w14:textId="77777777" w:rsidR="00035C24" w:rsidRDefault="00000000">
    <w:pPr>
      <w:pBdr>
        <w:top w:val="nil"/>
        <w:left w:val="nil"/>
        <w:bottom w:val="nil"/>
        <w:right w:val="nil"/>
        <w:between w:val="nil"/>
      </w:pBdr>
      <w:tabs>
        <w:tab w:val="center" w:pos="4252"/>
        <w:tab w:val="right" w:pos="850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0" distR="0" simplePos="0" relativeHeight="251658240" behindDoc="1" locked="0" layoutInCell="1" hidden="0" allowOverlap="1" wp14:anchorId="2EEA72FA" wp14:editId="7349B736">
          <wp:simplePos x="0" y="0"/>
          <wp:positionH relativeFrom="margin">
            <wp:align>center</wp:align>
          </wp:positionH>
          <wp:positionV relativeFrom="margin">
            <wp:align>center</wp:align>
          </wp:positionV>
          <wp:extent cx="5758200" cy="4017600"/>
          <wp:effectExtent l="0" t="0" r="0" b="0"/>
          <wp:wrapNone/>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758200" cy="4017600"/>
                  </a:xfrm>
                  <a:prstGeom prst="rect">
                    <a:avLst/>
                  </a:prstGeom>
                  <a:ln/>
                </pic:spPr>
              </pic:pic>
            </a:graphicData>
          </a:graphic>
        </wp:anchor>
      </w:drawing>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C06FFE">
      <w:rPr>
        <w:rFonts w:ascii="Times New Roman" w:eastAsia="Times New Roman" w:hAnsi="Times New Roman" w:cs="Times New Roman"/>
        <w:noProof/>
        <w:color w:val="000000"/>
        <w:sz w:val="24"/>
        <w:szCs w:val="24"/>
      </w:rPr>
      <w:t>2</w:t>
    </w:r>
    <w:r>
      <w:rPr>
        <w:rFonts w:ascii="Times New Roman" w:eastAsia="Times New Roman" w:hAnsi="Times New Roman" w:cs="Times New Roman"/>
        <w:color w:val="000000"/>
        <w:sz w:val="24"/>
        <w:szCs w:val="24"/>
      </w:rPr>
      <w:fldChar w:fldCharType="end"/>
    </w:r>
  </w:p>
  <w:p w14:paraId="563A1A99" w14:textId="77777777" w:rsidR="00035C24" w:rsidRDefault="00000000">
    <w:pPr>
      <w:tabs>
        <w:tab w:val="center" w:pos="4252"/>
        <w:tab w:val="right" w:pos="8504"/>
      </w:tabs>
      <w:spacing w:after="0" w:line="240" w:lineRule="auto"/>
      <w:ind w:right="360"/>
      <w:rPr>
        <w:color w:val="000000"/>
      </w:rPr>
    </w:pPr>
    <w:r>
      <w:rPr>
        <w:noProof/>
      </w:rPr>
      <w:drawing>
        <wp:anchor distT="0" distB="0" distL="114300" distR="114300" simplePos="0" relativeHeight="251659264" behindDoc="0" locked="0" layoutInCell="1" hidden="0" allowOverlap="1" wp14:anchorId="6E067D03" wp14:editId="09F6D999">
          <wp:simplePos x="0" y="0"/>
          <wp:positionH relativeFrom="column">
            <wp:posOffset>-1384299</wp:posOffset>
          </wp:positionH>
          <wp:positionV relativeFrom="paragraph">
            <wp:posOffset>-756284</wp:posOffset>
          </wp:positionV>
          <wp:extent cx="9065260" cy="309245"/>
          <wp:effectExtent l="0" t="0" r="0" b="0"/>
          <wp:wrapSquare wrapText="bothSides" distT="0" distB="0" distL="114300" distR="11430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9065260" cy="309245"/>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28D5C" w14:textId="77777777" w:rsidR="00035C24" w:rsidRDefault="00000000">
    <w:pPr>
      <w:pBdr>
        <w:top w:val="nil"/>
        <w:left w:val="nil"/>
        <w:bottom w:val="nil"/>
        <w:right w:val="nil"/>
        <w:between w:val="nil"/>
      </w:pBdr>
      <w:tabs>
        <w:tab w:val="center" w:pos="4252"/>
        <w:tab w:val="right" w:pos="8504"/>
      </w:tabs>
      <w:spacing w:after="0" w:line="240" w:lineRule="auto"/>
      <w:rPr>
        <w:color w:val="000000"/>
      </w:rPr>
    </w:pPr>
    <w:r>
      <w:rPr>
        <w:noProof/>
        <w:color w:val="000000"/>
      </w:rPr>
      <w:drawing>
        <wp:anchor distT="0" distB="0" distL="0" distR="0" simplePos="0" relativeHeight="251660288" behindDoc="1" locked="0" layoutInCell="1" hidden="0" allowOverlap="1" wp14:anchorId="717643A7" wp14:editId="610E5BD8">
          <wp:simplePos x="0" y="0"/>
          <wp:positionH relativeFrom="margin">
            <wp:align>center</wp:align>
          </wp:positionH>
          <wp:positionV relativeFrom="margin">
            <wp:align>center</wp:align>
          </wp:positionV>
          <wp:extent cx="5758200" cy="4017600"/>
          <wp:effectExtent l="0" t="0" r="0" b="0"/>
          <wp:wrapNone/>
          <wp:docPr id="1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758200" cy="4017600"/>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EE6692C" wp14:editId="685DB8EA">
          <wp:simplePos x="0" y="0"/>
          <wp:positionH relativeFrom="column">
            <wp:posOffset>-1080134</wp:posOffset>
          </wp:positionH>
          <wp:positionV relativeFrom="paragraph">
            <wp:posOffset>-756284</wp:posOffset>
          </wp:positionV>
          <wp:extent cx="7693025" cy="309880"/>
          <wp:effectExtent l="0" t="0" r="0" b="0"/>
          <wp:wrapSquare wrapText="bothSides" distT="0" distB="0" distL="114300" distR="11430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693025" cy="30988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C24"/>
    <w:rsid w:val="00035C24"/>
    <w:rsid w:val="00C06FFE"/>
    <w:rsid w:val="00DC04D7"/>
    <w:rsid w:val="00F963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CA8A9"/>
  <w15:docId w15:val="{635F751C-7B27-4DBE-B904-FBA52F15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uiPriority w:val="10"/>
    <w:qFormat/>
    <w:rsid w:val="00462D73"/>
    <w:pPr>
      <w:keepNext/>
      <w:keepLines/>
      <w:spacing w:before="480" w:after="120"/>
    </w:pPr>
    <w:rPr>
      <w:b/>
      <w:sz w:val="72"/>
      <w:szCs w:val="72"/>
    </w:rPr>
  </w:style>
  <w:style w:type="character" w:customStyle="1" w:styleId="CabealhoChar">
    <w:name w:val="Cabeçalho Char"/>
    <w:basedOn w:val="Fontepargpadro"/>
    <w:link w:val="Cabealho"/>
    <w:uiPriority w:val="99"/>
    <w:qFormat/>
    <w:rsid w:val="00523131"/>
  </w:style>
  <w:style w:type="character" w:customStyle="1" w:styleId="RodapChar">
    <w:name w:val="Rodapé Char"/>
    <w:basedOn w:val="Fontepargpadro"/>
    <w:link w:val="Rodap"/>
    <w:uiPriority w:val="99"/>
    <w:qFormat/>
    <w:rsid w:val="00523131"/>
  </w:style>
  <w:style w:type="character" w:customStyle="1" w:styleId="LinkdaInternet">
    <w:name w:val="Link da Internet"/>
    <w:basedOn w:val="Fontepargpadro"/>
    <w:uiPriority w:val="99"/>
    <w:semiHidden/>
    <w:unhideWhenUsed/>
    <w:rsid w:val="00222B90"/>
    <w:rPr>
      <w:color w:val="0000FF"/>
      <w:u w:val="single"/>
    </w:rPr>
  </w:style>
  <w:style w:type="character" w:customStyle="1" w:styleId="apple-converted-space">
    <w:name w:val="apple-converted-space"/>
    <w:basedOn w:val="Fontepargpadro"/>
    <w:qFormat/>
    <w:rsid w:val="00222B90"/>
  </w:style>
  <w:style w:type="character" w:styleId="Forte">
    <w:name w:val="Strong"/>
    <w:basedOn w:val="Fontepargpadro"/>
    <w:uiPriority w:val="22"/>
    <w:qFormat/>
    <w:rsid w:val="00222B90"/>
    <w:rPr>
      <w:b/>
      <w:bCs/>
    </w:rPr>
  </w:style>
  <w:style w:type="character" w:styleId="Nmerodepgina">
    <w:name w:val="page number"/>
    <w:basedOn w:val="Fontepargpadro"/>
    <w:uiPriority w:val="99"/>
    <w:semiHidden/>
    <w:unhideWhenUsed/>
    <w:qFormat/>
    <w:rsid w:val="002D77C0"/>
  </w:style>
  <w:style w:type="character" w:customStyle="1" w:styleId="TextodebaloChar">
    <w:name w:val="Texto de balão Char"/>
    <w:basedOn w:val="Fontepargpadro"/>
    <w:link w:val="Textodebalo"/>
    <w:uiPriority w:val="99"/>
    <w:semiHidden/>
    <w:qFormat/>
    <w:rsid w:val="00960A71"/>
    <w:rPr>
      <w:rFonts w:ascii="Tahoma" w:hAnsi="Tahoma" w:cs="Tahoma"/>
      <w:sz w:val="16"/>
      <w:szCs w:val="16"/>
    </w:rPr>
  </w:style>
  <w:style w:type="paragraph" w:styleId="Corpodetexto">
    <w:name w:val="Body Text"/>
    <w:basedOn w:val="Normal"/>
    <w:pPr>
      <w:spacing w:after="140" w:line="276" w:lineRule="auto"/>
    </w:pPr>
  </w:style>
  <w:style w:type="paragraph" w:styleId="Lista">
    <w:name w:val="List"/>
    <w:basedOn w:val="Corpodetexto"/>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customStyle="1" w:styleId="ndice">
    <w:name w:val="Índice"/>
    <w:basedOn w:val="Normal"/>
    <w:qFormat/>
    <w:pPr>
      <w:suppressLineNumbers/>
    </w:pPr>
    <w:rPr>
      <w:rFonts w:cs="Lohit Devanagari"/>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qFormat/>
    <w:rsid w:val="00222B90"/>
    <w:pPr>
      <w:spacing w:beforeAutospacing="1"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qFormat/>
    <w:rsid w:val="00222B90"/>
    <w:pPr>
      <w:spacing w:beforeAutospacing="1" w:afterAutospacing="1" w:line="240" w:lineRule="auto"/>
    </w:pPr>
    <w:rPr>
      <w:rFonts w:ascii="Times New Roman" w:eastAsia="Times New Roman" w:hAnsi="Times New Roman" w:cs="Times New Roman"/>
      <w:sz w:val="24"/>
      <w:szCs w:val="24"/>
    </w:rPr>
  </w:style>
  <w:style w:type="paragraph" w:customStyle="1" w:styleId="text-center">
    <w:name w:val="text-center"/>
    <w:basedOn w:val="Normal"/>
    <w:qFormat/>
    <w:rsid w:val="00222B90"/>
    <w:pPr>
      <w:spacing w:beforeAutospacing="1" w:afterAutospacing="1" w:line="240" w:lineRule="auto"/>
    </w:pPr>
    <w:rPr>
      <w:rFonts w:ascii="Times New Roman" w:eastAsia="Times New Roman" w:hAnsi="Times New Roman" w:cs="Times New Roman"/>
      <w:sz w:val="24"/>
      <w:szCs w:val="24"/>
    </w:rPr>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qFormat/>
    <w:rsid w:val="00960A71"/>
    <w:pPr>
      <w:spacing w:after="0" w:line="240" w:lineRule="auto"/>
    </w:pPr>
    <w:rPr>
      <w:rFonts w:ascii="Tahoma" w:hAnsi="Tahoma" w:cs="Tahoma"/>
      <w:sz w:val="16"/>
      <w:szCs w:val="16"/>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table" w:customStyle="1" w:styleId="TableNormal4">
    <w:name w:val="Table Normal"/>
    <w:rsid w:val="00462D73"/>
    <w:tblPr>
      <w:tblCellMar>
        <w:top w:w="0" w:type="dxa"/>
        <w:left w:w="0" w:type="dxa"/>
        <w:bottom w:w="0" w:type="dxa"/>
        <w:right w:w="0" w:type="dxa"/>
      </w:tblCellMar>
    </w:tblPr>
  </w:style>
  <w:style w:type="character" w:styleId="Hyperlink">
    <w:name w:val="Hyperlink"/>
    <w:basedOn w:val="Fontepargpadro"/>
    <w:uiPriority w:val="99"/>
    <w:unhideWhenUsed/>
    <w:rsid w:val="00C06FFE"/>
    <w:rPr>
      <w:color w:val="0563C1" w:themeColor="hyperlink"/>
      <w:u w:val="single"/>
    </w:rPr>
  </w:style>
  <w:style w:type="character" w:styleId="MenoPendente">
    <w:name w:val="Unresolved Mention"/>
    <w:basedOn w:val="Fontepargpadro"/>
    <w:uiPriority w:val="99"/>
    <w:semiHidden/>
    <w:unhideWhenUsed/>
    <w:rsid w:val="00C06F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ambrosio@id.uff.br"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niel_c@id.uff.br" TargetMode="Externa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vgribeiro@id.uff.b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vleonardo@id.uff.b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milener@id.uff.br"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t86HB9gSUgbdIvzO+k70sVGw==">CgMxLjA4AHIhMXJacnZfcmdwaEFyX01SeUhFajlQTkQ2VzktTzBzOTkw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659</Words>
  <Characters>3560</Characters>
  <Application>Microsoft Office Word</Application>
  <DocSecurity>0</DocSecurity>
  <Lines>29</Lines>
  <Paragraphs>8</Paragraphs>
  <ScaleCrop>false</ScaleCrop>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Anônimo ANM</cp:lastModifiedBy>
  <cp:revision>2</cp:revision>
  <dcterms:created xsi:type="dcterms:W3CDTF">2025-02-07T01:02:00Z</dcterms:created>
  <dcterms:modified xsi:type="dcterms:W3CDTF">2025-04-03T19:06:00Z</dcterms:modified>
</cp:coreProperties>
</file>