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711E95" w14:textId="77777777" w:rsidR="00D17C15" w:rsidRDefault="00D17C15" w:rsidP="00FA1FFA">
      <w:pPr>
        <w:spacing w:before="240" w:after="240"/>
        <w:rPr>
          <w:rFonts w:ascii="Arial" w:eastAsia="Arial" w:hAnsi="Arial" w:cs="Arial"/>
          <w:b/>
          <w:sz w:val="24"/>
          <w:szCs w:val="24"/>
        </w:rPr>
      </w:pPr>
    </w:p>
    <w:p w14:paraId="74AF0581" w14:textId="15C92847" w:rsidR="00D17C15" w:rsidRDefault="00D17C15" w:rsidP="00D17C15">
      <w:pPr>
        <w:spacing w:before="240" w:after="240"/>
        <w:jc w:val="both"/>
        <w:rPr>
          <w:rFonts w:ascii="Arial" w:eastAsia="Arial" w:hAnsi="Arial" w:cs="Arial"/>
          <w:sz w:val="24"/>
          <w:szCs w:val="24"/>
        </w:rPr>
      </w:pPr>
      <w:r>
        <w:rPr>
          <w:rFonts w:ascii="Arial" w:eastAsia="Arial" w:hAnsi="Arial" w:cs="Arial"/>
          <w:b/>
          <w:sz w:val="24"/>
          <w:szCs w:val="24"/>
        </w:rPr>
        <w:t>Título:</w:t>
      </w:r>
      <w:r w:rsidR="0023277C">
        <w:rPr>
          <w:rFonts w:ascii="Arial" w:eastAsia="Arial" w:hAnsi="Arial" w:cs="Arial"/>
          <w:b/>
          <w:sz w:val="24"/>
          <w:szCs w:val="24"/>
        </w:rPr>
        <w:t xml:space="preserve"> </w:t>
      </w:r>
      <w:r w:rsidR="00203E2B">
        <w:rPr>
          <w:rFonts w:ascii="Arial" w:eastAsia="Arial" w:hAnsi="Arial" w:cs="Arial"/>
          <w:sz w:val="24"/>
          <w:szCs w:val="24"/>
        </w:rPr>
        <w:t xml:space="preserve">A região Norte Fluminense e as ações da elite sucroalcooleira em crise: uma análise de conteúdo do Jornal Monitor Campista (1980-1985) </w:t>
      </w:r>
    </w:p>
    <w:p w14:paraId="79058DE3" w14:textId="77777777" w:rsidR="00FA1FFA" w:rsidRDefault="00D17C15" w:rsidP="00D17C15">
      <w:pPr>
        <w:spacing w:before="240" w:after="240"/>
        <w:jc w:val="both"/>
        <w:rPr>
          <w:rFonts w:ascii="Arial" w:eastAsia="Arial" w:hAnsi="Arial" w:cs="Arial"/>
          <w:bCs/>
          <w:sz w:val="24"/>
          <w:szCs w:val="24"/>
        </w:rPr>
      </w:pPr>
      <w:r>
        <w:rPr>
          <w:rFonts w:ascii="Arial" w:eastAsia="Arial" w:hAnsi="Arial" w:cs="Arial"/>
          <w:b/>
          <w:sz w:val="24"/>
          <w:szCs w:val="24"/>
        </w:rPr>
        <w:t>Autor:</w:t>
      </w:r>
      <w:r w:rsidR="0023277C">
        <w:rPr>
          <w:rFonts w:ascii="Arial" w:eastAsia="Arial" w:hAnsi="Arial" w:cs="Arial"/>
          <w:b/>
          <w:sz w:val="24"/>
          <w:szCs w:val="24"/>
        </w:rPr>
        <w:t xml:space="preserve"> </w:t>
      </w:r>
      <w:r w:rsidR="004944DE">
        <w:rPr>
          <w:rFonts w:ascii="Arial" w:eastAsia="Arial" w:hAnsi="Arial" w:cs="Arial"/>
          <w:bCs/>
          <w:sz w:val="24"/>
          <w:szCs w:val="24"/>
        </w:rPr>
        <w:t xml:space="preserve">Carolinne Barcellos de Carvalho Azevedo. Universidade Federal Fluminense, </w:t>
      </w:r>
      <w:hyperlink r:id="rId8" w:history="1">
        <w:r w:rsidR="004944DE" w:rsidRPr="00B06552">
          <w:rPr>
            <w:rStyle w:val="Hyperlink"/>
            <w:rFonts w:ascii="Arial" w:eastAsia="Arial" w:hAnsi="Arial" w:cs="Arial"/>
            <w:bCs/>
            <w:sz w:val="24"/>
            <w:szCs w:val="24"/>
          </w:rPr>
          <w:t>carolinnebarcellosa@gmail.com</w:t>
        </w:r>
      </w:hyperlink>
      <w:r w:rsidR="004944DE">
        <w:rPr>
          <w:rFonts w:ascii="Arial" w:eastAsia="Arial" w:hAnsi="Arial" w:cs="Arial"/>
          <w:bCs/>
          <w:sz w:val="24"/>
          <w:szCs w:val="24"/>
        </w:rPr>
        <w:t xml:space="preserve">. </w:t>
      </w:r>
    </w:p>
    <w:p w14:paraId="43F1E15A" w14:textId="2066D00D" w:rsidR="00FA1FFA" w:rsidRDefault="00FA1FFA" w:rsidP="00FA1FFA">
      <w:pPr>
        <w:spacing w:before="240" w:after="240"/>
        <w:jc w:val="both"/>
        <w:rPr>
          <w:rFonts w:ascii="Arial" w:eastAsia="Arial" w:hAnsi="Arial" w:cs="Arial"/>
          <w:bCs/>
          <w:sz w:val="24"/>
          <w:szCs w:val="24"/>
        </w:rPr>
      </w:pPr>
      <w:r>
        <w:rPr>
          <w:rFonts w:ascii="Arial" w:eastAsia="Arial" w:hAnsi="Arial" w:cs="Arial"/>
          <w:bCs/>
          <w:sz w:val="24"/>
          <w:szCs w:val="24"/>
        </w:rPr>
        <w:t xml:space="preserve">Zandor Gomes Mesquita. Instituto Federal Fluminense – </w:t>
      </w:r>
      <w:r w:rsidRPr="00FA1FFA">
        <w:rPr>
          <w:rFonts w:ascii="Arial" w:eastAsia="Arial" w:hAnsi="Arial" w:cs="Arial"/>
          <w:bCs/>
          <w:i/>
          <w:iCs/>
          <w:sz w:val="24"/>
          <w:szCs w:val="24"/>
        </w:rPr>
        <w:t>campus Campos Centro</w:t>
      </w:r>
      <w:r>
        <w:rPr>
          <w:rFonts w:ascii="Arial" w:eastAsia="Arial" w:hAnsi="Arial" w:cs="Arial"/>
          <w:bCs/>
          <w:sz w:val="24"/>
          <w:szCs w:val="24"/>
        </w:rPr>
        <w:t>, zandor.mesquita@gsuite.iff.edu.br</w:t>
      </w:r>
    </w:p>
    <w:p w14:paraId="4FFB7DC5" w14:textId="23483FDE" w:rsidR="004D6F9A" w:rsidRPr="00FA1FFA" w:rsidRDefault="00000000" w:rsidP="00FA1FFA">
      <w:pPr>
        <w:spacing w:before="240" w:after="240"/>
        <w:jc w:val="both"/>
        <w:rPr>
          <w:rFonts w:ascii="Arial" w:eastAsia="Arial" w:hAnsi="Arial" w:cs="Arial"/>
          <w:sz w:val="24"/>
          <w:szCs w:val="24"/>
        </w:rPr>
      </w:pPr>
      <w:r>
        <w:pict w14:anchorId="6BDB3661">
          <v:rect id="_x0000_i1025" style="width:0;height:1.5pt" o:hrstd="t" o:hr="t" fillcolor="#a0a0a0" stroked="f"/>
        </w:pict>
      </w:r>
    </w:p>
    <w:p w14:paraId="7E14C841" w14:textId="77777777" w:rsidR="00D17C15" w:rsidRDefault="00D17C15" w:rsidP="00D17C15">
      <w:pPr>
        <w:spacing w:before="240" w:after="240" w:line="360" w:lineRule="auto"/>
        <w:jc w:val="both"/>
        <w:rPr>
          <w:rFonts w:ascii="Arial" w:eastAsia="Arial" w:hAnsi="Arial" w:cs="Arial"/>
          <w:b/>
          <w:sz w:val="24"/>
          <w:szCs w:val="24"/>
        </w:rPr>
      </w:pPr>
      <w:r>
        <w:rPr>
          <w:rFonts w:ascii="Arial" w:eastAsia="Arial" w:hAnsi="Arial" w:cs="Arial"/>
          <w:b/>
          <w:sz w:val="24"/>
          <w:szCs w:val="24"/>
        </w:rPr>
        <w:t>Resumo</w:t>
      </w:r>
    </w:p>
    <w:p w14:paraId="7E534FB5" w14:textId="12E95893" w:rsidR="00C71E09" w:rsidRDefault="00203E2B" w:rsidP="00203E2B">
      <w:pPr>
        <w:spacing w:before="240" w:after="240" w:line="240" w:lineRule="auto"/>
        <w:jc w:val="both"/>
        <w:rPr>
          <w:rFonts w:ascii="Arial" w:eastAsia="Arial" w:hAnsi="Arial" w:cs="Arial"/>
          <w:sz w:val="24"/>
          <w:szCs w:val="24"/>
        </w:rPr>
      </w:pPr>
      <w:r>
        <w:rPr>
          <w:rFonts w:ascii="Arial" w:eastAsia="Arial" w:hAnsi="Arial" w:cs="Arial"/>
          <w:sz w:val="24"/>
          <w:szCs w:val="24"/>
        </w:rPr>
        <w:t>Na atualidade, o Norte Fluminense possui destaque no cenário nacional devido à exploração de petróleo na Bacia de Campos e ao Porto do Açu, atividades estas que compõem as principais dinâmicas dessa região.</w:t>
      </w:r>
      <w:r w:rsidR="00A80848">
        <w:rPr>
          <w:rFonts w:ascii="Arial" w:eastAsia="Arial" w:hAnsi="Arial" w:cs="Arial"/>
          <w:sz w:val="24"/>
          <w:szCs w:val="24"/>
        </w:rPr>
        <w:t xml:space="preserve"> </w:t>
      </w:r>
      <w:r>
        <w:rPr>
          <w:rFonts w:ascii="Arial" w:eastAsia="Arial" w:hAnsi="Arial" w:cs="Arial"/>
          <w:sz w:val="24"/>
          <w:szCs w:val="24"/>
        </w:rPr>
        <w:t xml:space="preserve">Entendendo a região como conformada e conformadora de processos, inicia-se um questionamento acerca das dinâmicas que </w:t>
      </w:r>
      <w:r w:rsidR="00A80848">
        <w:rPr>
          <w:rFonts w:ascii="Arial" w:eastAsia="Arial" w:hAnsi="Arial" w:cs="Arial"/>
          <w:sz w:val="24"/>
          <w:szCs w:val="24"/>
        </w:rPr>
        <w:t xml:space="preserve">a </w:t>
      </w:r>
      <w:r>
        <w:rPr>
          <w:rFonts w:ascii="Arial" w:eastAsia="Arial" w:hAnsi="Arial" w:cs="Arial"/>
          <w:sz w:val="24"/>
          <w:szCs w:val="24"/>
        </w:rPr>
        <w:t xml:space="preserve">conformaram. Verificou-se que suas bases estão diretamente ligadas à cana-de-açúcar. </w:t>
      </w:r>
      <w:r w:rsidR="00A80848" w:rsidRPr="00FA1FFA">
        <w:rPr>
          <w:rFonts w:ascii="Arial" w:eastAsia="Arial" w:hAnsi="Arial" w:cs="Arial"/>
          <w:sz w:val="24"/>
          <w:szCs w:val="24"/>
        </w:rPr>
        <w:t>O objetivo deste trabalho foi identificar como o</w:t>
      </w:r>
      <w:r w:rsidR="00C134D7" w:rsidRPr="00FA1FFA">
        <w:rPr>
          <w:rFonts w:ascii="Arial" w:eastAsia="Arial" w:hAnsi="Arial" w:cs="Arial"/>
          <w:sz w:val="24"/>
          <w:szCs w:val="24"/>
        </w:rPr>
        <w:t xml:space="preserve"> conceito de região era mobilizado e materializado no</w:t>
      </w:r>
      <w:r w:rsidR="00A80848" w:rsidRPr="00FA1FFA">
        <w:rPr>
          <w:rFonts w:ascii="Arial" w:eastAsia="Arial" w:hAnsi="Arial" w:cs="Arial"/>
          <w:sz w:val="24"/>
          <w:szCs w:val="24"/>
        </w:rPr>
        <w:t xml:space="preserve"> jornal ligado a elite canavieira do Norte Fluminense no período de declínio produtivo</w:t>
      </w:r>
      <w:r w:rsidR="00A80848">
        <w:rPr>
          <w:rFonts w:ascii="Arial" w:eastAsia="Arial" w:hAnsi="Arial" w:cs="Arial"/>
          <w:sz w:val="24"/>
          <w:szCs w:val="24"/>
        </w:rPr>
        <w:t xml:space="preserve">. A metodologia utilizada foi a análise de conteúdo, utilizando as capas do Jornal Monitor Campista durante os anos de 1980, 1983 e 1985 para identificar quais ações foram mobilizadas pela elite canavieira local por meio da mídia impressa. </w:t>
      </w:r>
    </w:p>
    <w:p w14:paraId="5D25DABF" w14:textId="0AF3C950" w:rsidR="00D17C15" w:rsidRDefault="00D17C15" w:rsidP="00D17C15">
      <w:pPr>
        <w:spacing w:before="240" w:after="240" w:line="360" w:lineRule="auto"/>
        <w:jc w:val="both"/>
        <w:rPr>
          <w:rFonts w:ascii="Arial" w:eastAsia="Arial" w:hAnsi="Arial" w:cs="Arial"/>
          <w:sz w:val="24"/>
          <w:szCs w:val="24"/>
        </w:rPr>
      </w:pPr>
      <w:r>
        <w:rPr>
          <w:rFonts w:ascii="Arial" w:eastAsia="Arial" w:hAnsi="Arial" w:cs="Arial"/>
          <w:b/>
          <w:sz w:val="24"/>
          <w:szCs w:val="24"/>
        </w:rPr>
        <w:t>Palavras-chave:</w:t>
      </w:r>
      <w:r>
        <w:rPr>
          <w:rFonts w:ascii="Arial" w:eastAsia="Arial" w:hAnsi="Arial" w:cs="Arial"/>
          <w:sz w:val="24"/>
          <w:szCs w:val="24"/>
        </w:rPr>
        <w:t xml:space="preserve"> </w:t>
      </w:r>
      <w:r w:rsidR="00A80848">
        <w:rPr>
          <w:rFonts w:ascii="Arial" w:eastAsia="Arial" w:hAnsi="Arial" w:cs="Arial"/>
          <w:sz w:val="24"/>
          <w:szCs w:val="24"/>
        </w:rPr>
        <w:t xml:space="preserve">Norte Fluminense, </w:t>
      </w:r>
      <w:r w:rsidR="00C134D7">
        <w:rPr>
          <w:rFonts w:ascii="Arial" w:eastAsia="Arial" w:hAnsi="Arial" w:cs="Arial"/>
          <w:sz w:val="24"/>
          <w:szCs w:val="24"/>
        </w:rPr>
        <w:t>A</w:t>
      </w:r>
      <w:r w:rsidR="00A80848">
        <w:rPr>
          <w:rFonts w:ascii="Arial" w:eastAsia="Arial" w:hAnsi="Arial" w:cs="Arial"/>
          <w:sz w:val="24"/>
          <w:szCs w:val="24"/>
        </w:rPr>
        <w:t xml:space="preserve">tividade </w:t>
      </w:r>
      <w:r w:rsidR="00C134D7">
        <w:rPr>
          <w:rFonts w:ascii="Arial" w:eastAsia="Arial" w:hAnsi="Arial" w:cs="Arial"/>
          <w:sz w:val="24"/>
          <w:szCs w:val="24"/>
        </w:rPr>
        <w:t>S</w:t>
      </w:r>
      <w:r w:rsidR="00A80848">
        <w:rPr>
          <w:rFonts w:ascii="Arial" w:eastAsia="Arial" w:hAnsi="Arial" w:cs="Arial"/>
          <w:sz w:val="24"/>
          <w:szCs w:val="24"/>
        </w:rPr>
        <w:t xml:space="preserve">ucroalcooleira, </w:t>
      </w:r>
      <w:r w:rsidR="00C134D7">
        <w:rPr>
          <w:rFonts w:ascii="Arial" w:eastAsia="Arial" w:hAnsi="Arial" w:cs="Arial"/>
          <w:sz w:val="24"/>
          <w:szCs w:val="24"/>
        </w:rPr>
        <w:t>Região</w:t>
      </w:r>
      <w:r w:rsidR="00A80848">
        <w:rPr>
          <w:rFonts w:ascii="Arial" w:eastAsia="Arial" w:hAnsi="Arial" w:cs="Arial"/>
          <w:sz w:val="24"/>
          <w:szCs w:val="24"/>
        </w:rPr>
        <w:t xml:space="preserve">. </w:t>
      </w:r>
    </w:p>
    <w:p w14:paraId="1045C54E" w14:textId="77777777" w:rsidR="00D17C15" w:rsidRPr="00C65BB3" w:rsidRDefault="00D17C15" w:rsidP="00D17C15">
      <w:pPr>
        <w:spacing w:before="240" w:after="240" w:line="360" w:lineRule="auto"/>
        <w:jc w:val="both"/>
        <w:rPr>
          <w:rFonts w:ascii="Arial" w:eastAsia="Arial" w:hAnsi="Arial" w:cs="Arial"/>
          <w:b/>
          <w:sz w:val="24"/>
          <w:szCs w:val="24"/>
          <w:lang w:val="en-US"/>
        </w:rPr>
      </w:pPr>
      <w:r w:rsidRPr="00C65BB3">
        <w:rPr>
          <w:rFonts w:ascii="Arial" w:eastAsia="Arial" w:hAnsi="Arial" w:cs="Arial"/>
          <w:b/>
          <w:sz w:val="24"/>
          <w:szCs w:val="24"/>
          <w:lang w:val="en-US"/>
        </w:rPr>
        <w:t>Abstract</w:t>
      </w:r>
    </w:p>
    <w:p w14:paraId="5FAEF4BC" w14:textId="08985A3F" w:rsidR="00C71E09" w:rsidRDefault="008F11E9" w:rsidP="008F11E9">
      <w:pPr>
        <w:spacing w:before="240" w:after="240" w:line="240" w:lineRule="auto"/>
        <w:jc w:val="both"/>
        <w:rPr>
          <w:rFonts w:ascii="Arial" w:eastAsia="Arial" w:hAnsi="Arial" w:cs="Arial"/>
          <w:sz w:val="24"/>
          <w:szCs w:val="24"/>
          <w:lang w:val="en-US"/>
        </w:rPr>
      </w:pPr>
      <w:r w:rsidRPr="008F11E9">
        <w:rPr>
          <w:rFonts w:ascii="Arial" w:eastAsia="Arial" w:hAnsi="Arial" w:cs="Arial"/>
          <w:sz w:val="24"/>
          <w:szCs w:val="24"/>
          <w:lang w:val="en-US"/>
        </w:rPr>
        <w:t>Currently, the North of Rio de Janeiro stands out on the national scene due to oil exploration in the Campos Basin and the Port of Açu, activities that make up the main dynamics of this region. Understanding the region as shaped and shaping processes, a questioning begins about the dynamics that shaped it. It was found that its foundations are directly linked to sugarcane. The objective of this study was to identify how the newspaper linked to the sugarcane elite of the North of Rio de Janeiro, during the period of productive decline, explained the news and influenced the constitution of the region. The methodology used was content analysis, using the covers of the Jornal Monitor Campista during the years 1980, 1983 and 1985 to identify which actions were mobilized by the local sugarcane elite through the printed media.</w:t>
      </w:r>
      <w:r w:rsidR="0023277C">
        <w:rPr>
          <w:rFonts w:ascii="Arial" w:eastAsia="Arial" w:hAnsi="Arial" w:cs="Arial"/>
          <w:sz w:val="24"/>
          <w:szCs w:val="24"/>
          <w:lang w:val="en-US"/>
        </w:rPr>
        <w:t xml:space="preserve"> </w:t>
      </w:r>
    </w:p>
    <w:p w14:paraId="55EFC15D" w14:textId="5ACEFDA4" w:rsidR="00D17C15" w:rsidRPr="00C65BB3" w:rsidRDefault="00D17C15" w:rsidP="00D17C15">
      <w:pPr>
        <w:spacing w:before="240" w:after="240" w:line="360" w:lineRule="auto"/>
        <w:jc w:val="both"/>
        <w:rPr>
          <w:rFonts w:ascii="Arial" w:eastAsia="Arial" w:hAnsi="Arial" w:cs="Arial"/>
          <w:sz w:val="24"/>
          <w:szCs w:val="24"/>
          <w:lang w:val="en-US"/>
        </w:rPr>
      </w:pPr>
      <w:r w:rsidRPr="00C65BB3">
        <w:rPr>
          <w:rFonts w:ascii="Arial" w:eastAsia="Arial" w:hAnsi="Arial" w:cs="Arial"/>
          <w:b/>
          <w:sz w:val="24"/>
          <w:szCs w:val="24"/>
          <w:lang w:val="en-US"/>
        </w:rPr>
        <w:t>Keywords:</w:t>
      </w:r>
      <w:r w:rsidRPr="00C65BB3">
        <w:rPr>
          <w:rFonts w:ascii="Arial" w:eastAsia="Arial" w:hAnsi="Arial" w:cs="Arial"/>
          <w:sz w:val="24"/>
          <w:szCs w:val="24"/>
          <w:lang w:val="en-US"/>
        </w:rPr>
        <w:t xml:space="preserve"> </w:t>
      </w:r>
      <w:r w:rsidR="008F11E9" w:rsidRPr="008F11E9">
        <w:rPr>
          <w:rFonts w:ascii="Arial" w:eastAsia="Arial" w:hAnsi="Arial" w:cs="Arial"/>
          <w:sz w:val="24"/>
          <w:szCs w:val="24"/>
          <w:lang w:val="en-US"/>
        </w:rPr>
        <w:t>North</w:t>
      </w:r>
      <w:r w:rsidR="00FA1FFA">
        <w:rPr>
          <w:rFonts w:ascii="Arial" w:eastAsia="Arial" w:hAnsi="Arial" w:cs="Arial"/>
          <w:sz w:val="24"/>
          <w:szCs w:val="24"/>
          <w:lang w:val="en-US"/>
        </w:rPr>
        <w:t xml:space="preserve"> </w:t>
      </w:r>
      <w:r w:rsidR="008F11E9" w:rsidRPr="008F11E9">
        <w:rPr>
          <w:rFonts w:ascii="Arial" w:eastAsia="Arial" w:hAnsi="Arial" w:cs="Arial"/>
          <w:sz w:val="24"/>
          <w:szCs w:val="24"/>
          <w:lang w:val="en-US"/>
        </w:rPr>
        <w:t xml:space="preserve">Fluminense Region, sugar and alcohol activity, </w:t>
      </w:r>
      <w:r w:rsidR="00F44961">
        <w:rPr>
          <w:rFonts w:ascii="Arial" w:eastAsia="Arial" w:hAnsi="Arial" w:cs="Arial"/>
          <w:sz w:val="24"/>
          <w:szCs w:val="24"/>
          <w:lang w:val="en-US"/>
        </w:rPr>
        <w:t>Region</w:t>
      </w:r>
      <w:r w:rsidR="008F11E9" w:rsidRPr="008F11E9">
        <w:rPr>
          <w:rFonts w:ascii="Arial" w:eastAsia="Arial" w:hAnsi="Arial" w:cs="Arial"/>
          <w:sz w:val="24"/>
          <w:szCs w:val="24"/>
          <w:lang w:val="en-US"/>
        </w:rPr>
        <w:t>.</w:t>
      </w:r>
    </w:p>
    <w:p w14:paraId="69D9EA4B" w14:textId="77777777" w:rsidR="00D17C15" w:rsidRDefault="00000000" w:rsidP="00D17C15">
      <w:pPr>
        <w:spacing w:before="240" w:after="240"/>
        <w:jc w:val="both"/>
        <w:rPr>
          <w:rFonts w:ascii="Arial" w:eastAsia="Arial" w:hAnsi="Arial" w:cs="Arial"/>
          <w:sz w:val="24"/>
          <w:szCs w:val="24"/>
        </w:rPr>
      </w:pPr>
      <w:r>
        <w:pict w14:anchorId="53C20772">
          <v:rect id="_x0000_i1026" style="width:0;height:1.5pt" o:hralign="center" o:hrstd="t" o:hr="t" fillcolor="#a0a0a0" stroked="f"/>
        </w:pict>
      </w:r>
    </w:p>
    <w:p w14:paraId="67FE3375" w14:textId="77777777" w:rsidR="00D17C15" w:rsidRDefault="00D17C15" w:rsidP="00D17C15">
      <w:pPr>
        <w:pStyle w:val="Ttulo2"/>
        <w:keepNext w:val="0"/>
        <w:keepLines w:val="0"/>
        <w:jc w:val="both"/>
        <w:rPr>
          <w:rFonts w:ascii="Arial" w:eastAsia="Arial" w:hAnsi="Arial" w:cs="Arial"/>
          <w:sz w:val="24"/>
          <w:szCs w:val="24"/>
        </w:rPr>
      </w:pPr>
      <w:bookmarkStart w:id="0" w:name="_ozfxted4ubl5" w:colFirst="0" w:colLast="0"/>
      <w:bookmarkEnd w:id="0"/>
      <w:r>
        <w:rPr>
          <w:rFonts w:ascii="Arial" w:eastAsia="Arial" w:hAnsi="Arial" w:cs="Arial"/>
          <w:sz w:val="24"/>
          <w:szCs w:val="24"/>
        </w:rPr>
        <w:lastRenderedPageBreak/>
        <w:t xml:space="preserve">1. </w:t>
      </w:r>
      <w:r w:rsidR="00C71E09">
        <w:rPr>
          <w:rFonts w:ascii="Arial" w:eastAsia="Arial" w:hAnsi="Arial" w:cs="Arial"/>
          <w:sz w:val="24"/>
          <w:szCs w:val="24"/>
        </w:rPr>
        <w:t>Introdução</w:t>
      </w:r>
    </w:p>
    <w:p w14:paraId="5DCE535C" w14:textId="47C51582" w:rsidR="00A33750" w:rsidRDefault="008F11E9" w:rsidP="00A33750">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t xml:space="preserve">Na atualidade, o Norte Fluminense possui grande destaque no cenário nacional devido aos dois grandes projetos de desenvolvimento que se estruturam em seus municípios. Destaca-se o Porto do Açu, localizado em São João da Barra, e a extração petrolífera na Bacia de Campos, com a Petrobrás e seus aparatos localizados em Macaé. Essas dinâmicas produtivas de relevância nacional e conexões </w:t>
      </w:r>
      <w:r w:rsidR="00A33750">
        <w:rPr>
          <w:rFonts w:ascii="Arial" w:eastAsia="Arial" w:hAnsi="Arial" w:cs="Arial"/>
          <w:sz w:val="24"/>
          <w:szCs w:val="24"/>
        </w:rPr>
        <w:t>internacionais são</w:t>
      </w:r>
      <w:r>
        <w:rPr>
          <w:rFonts w:ascii="Arial" w:eastAsia="Arial" w:hAnsi="Arial" w:cs="Arial"/>
          <w:sz w:val="24"/>
          <w:szCs w:val="24"/>
        </w:rPr>
        <w:t xml:space="preserve"> capazes de influenciar relações </w:t>
      </w:r>
      <w:r w:rsidR="00A33750">
        <w:rPr>
          <w:rFonts w:ascii="Arial" w:eastAsia="Arial" w:hAnsi="Arial" w:cs="Arial"/>
          <w:sz w:val="24"/>
          <w:szCs w:val="24"/>
        </w:rPr>
        <w:t>econômicas, sociais,</w:t>
      </w:r>
      <w:r>
        <w:rPr>
          <w:rFonts w:ascii="Arial" w:eastAsia="Arial" w:hAnsi="Arial" w:cs="Arial"/>
          <w:sz w:val="24"/>
          <w:szCs w:val="24"/>
        </w:rPr>
        <w:t xml:space="preserve"> políticas e culturais.   </w:t>
      </w:r>
    </w:p>
    <w:p w14:paraId="47CD3A4C" w14:textId="5CAEC76E" w:rsidR="00A33750" w:rsidRDefault="00A33750" w:rsidP="00A33750">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t xml:space="preserve">Pode-se afirmar que as dinâmicas que se relacionam com essas atividades são responsáveis por caracterizar a atual dinâmica regional que conforma o Norte Fluminense, com as demandas desses setores sendo transformadas em “necessidades” de toda sua população. Para isso, diversos meios são mobilizados para legitimar as ações implementadas em prol destes setores. Destaca-se as reportagens que são veiculadas nas mídias impressas que exaltam os benefícios destes empreendimentos e que não enfatizam os pontos negativos que tais atividades podem ocasionar. </w:t>
      </w:r>
    </w:p>
    <w:p w14:paraId="2581E56E" w14:textId="77777777" w:rsidR="002D741F" w:rsidRDefault="00A33750" w:rsidP="001D67A9">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t>Tendo em vista essa perspectiva, iniciou-se um processo de questionamento acerca dos processos que basilaram a conformação do Norte Fluminense. Verificou-se que a região destacada tem suas bases de formação diretamente ligadas à atividade sucroalcooleira</w:t>
      </w:r>
      <w:r w:rsidRPr="00FA1FFA">
        <w:rPr>
          <w:rFonts w:ascii="Arial" w:eastAsia="Arial" w:hAnsi="Arial" w:cs="Arial"/>
          <w:sz w:val="24"/>
          <w:szCs w:val="24"/>
        </w:rPr>
        <w:t>.</w:t>
      </w:r>
      <w:r w:rsidR="00C134D7" w:rsidRPr="00FA1FFA">
        <w:rPr>
          <w:rFonts w:ascii="Arial" w:eastAsia="Arial" w:hAnsi="Arial" w:cs="Arial"/>
          <w:sz w:val="24"/>
          <w:szCs w:val="24"/>
        </w:rPr>
        <w:t xml:space="preserve"> Contudo, na atualidade, esta dinâmica produtiva entrou em crise e perdeu a capacidade de mobilização de recursos que possuía em outros momentos. Tendo este ponto em vista, questionou-se as estratégias utilizadas pelos grupos dominantes para manter seu poder e legitimidade das ações. </w:t>
      </w:r>
      <w:r w:rsidR="002D741F" w:rsidRPr="00FA1FFA">
        <w:rPr>
          <w:rFonts w:ascii="Arial" w:eastAsia="Arial" w:hAnsi="Arial" w:cs="Arial"/>
          <w:sz w:val="24"/>
          <w:szCs w:val="24"/>
        </w:rPr>
        <w:t xml:space="preserve">Viu-se que os jornais impressos eram fundamentais para a consolidação de sua influência. Desta maneira, a presente pesquisa trata estes documentos </w:t>
      </w:r>
      <w:r w:rsidR="00C134D7" w:rsidRPr="00FA1FFA">
        <w:rPr>
          <w:rFonts w:ascii="Arial" w:eastAsia="Arial" w:hAnsi="Arial" w:cs="Arial"/>
          <w:sz w:val="24"/>
          <w:szCs w:val="24"/>
        </w:rPr>
        <w:t>como</w:t>
      </w:r>
      <w:r w:rsidR="002D741F" w:rsidRPr="00FA1FFA">
        <w:rPr>
          <w:rFonts w:ascii="Arial" w:eastAsia="Arial" w:hAnsi="Arial" w:cs="Arial"/>
          <w:sz w:val="24"/>
          <w:szCs w:val="24"/>
        </w:rPr>
        <w:t xml:space="preserve"> importante</w:t>
      </w:r>
      <w:r w:rsidR="001D67A9" w:rsidRPr="00FA1FFA">
        <w:rPr>
          <w:rFonts w:ascii="Arial" w:eastAsia="Arial" w:hAnsi="Arial" w:cs="Arial"/>
          <w:sz w:val="24"/>
          <w:szCs w:val="24"/>
        </w:rPr>
        <w:t xml:space="preserve"> fonte de dados para a análise geohistórica desse processo</w:t>
      </w:r>
      <w:r w:rsidR="002D741F" w:rsidRPr="00FA1FFA">
        <w:rPr>
          <w:rFonts w:ascii="Arial" w:eastAsia="Arial" w:hAnsi="Arial" w:cs="Arial"/>
          <w:sz w:val="24"/>
          <w:szCs w:val="24"/>
        </w:rPr>
        <w:t xml:space="preserve"> e investiga o modo pelo qual a região era mobilizada e materializada, no período de crise, no</w:t>
      </w:r>
      <w:r w:rsidR="001D67A9" w:rsidRPr="00FA1FFA">
        <w:rPr>
          <w:rFonts w:ascii="Arial" w:eastAsia="Arial" w:hAnsi="Arial" w:cs="Arial"/>
          <w:sz w:val="24"/>
          <w:szCs w:val="24"/>
        </w:rPr>
        <w:t xml:space="preserve"> jornal ligado a elite canavieira do Norte Fluminense</w:t>
      </w:r>
      <w:r w:rsidR="002D741F" w:rsidRPr="00FA1FFA">
        <w:rPr>
          <w:rFonts w:ascii="Arial" w:eastAsia="Arial" w:hAnsi="Arial" w:cs="Arial"/>
          <w:sz w:val="24"/>
          <w:szCs w:val="24"/>
        </w:rPr>
        <w:t>.</w:t>
      </w:r>
    </w:p>
    <w:p w14:paraId="7FD9022C" w14:textId="77777777" w:rsidR="002D741F" w:rsidRDefault="002D741F" w:rsidP="001D67A9">
      <w:pPr>
        <w:spacing w:before="240" w:after="240" w:line="360" w:lineRule="auto"/>
        <w:ind w:firstLine="720"/>
        <w:jc w:val="both"/>
        <w:rPr>
          <w:rFonts w:ascii="Arial" w:eastAsia="Arial" w:hAnsi="Arial" w:cs="Arial"/>
          <w:sz w:val="24"/>
          <w:szCs w:val="24"/>
        </w:rPr>
      </w:pPr>
    </w:p>
    <w:p w14:paraId="0A0F5751" w14:textId="034B6E74" w:rsidR="001D67A9" w:rsidRDefault="002D741F" w:rsidP="001D67A9">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t xml:space="preserve"> </w:t>
      </w:r>
    </w:p>
    <w:p w14:paraId="5B1716A9" w14:textId="77777777" w:rsidR="00D17C15" w:rsidRDefault="00D17C15" w:rsidP="00D17C15">
      <w:pPr>
        <w:pStyle w:val="Ttulo2"/>
        <w:keepNext w:val="0"/>
        <w:keepLines w:val="0"/>
        <w:jc w:val="both"/>
        <w:rPr>
          <w:rFonts w:ascii="Arial" w:eastAsia="Arial" w:hAnsi="Arial" w:cs="Arial"/>
          <w:sz w:val="24"/>
          <w:szCs w:val="24"/>
        </w:rPr>
      </w:pPr>
      <w:bookmarkStart w:id="1" w:name="_pcn4zwrzdkyd" w:colFirst="0" w:colLast="0"/>
      <w:bookmarkEnd w:id="1"/>
      <w:r>
        <w:rPr>
          <w:rFonts w:ascii="Arial" w:eastAsia="Arial" w:hAnsi="Arial" w:cs="Arial"/>
          <w:sz w:val="24"/>
          <w:szCs w:val="24"/>
        </w:rPr>
        <w:lastRenderedPageBreak/>
        <w:t xml:space="preserve">2. </w:t>
      </w:r>
      <w:r w:rsidR="00C71E09">
        <w:rPr>
          <w:rFonts w:ascii="Arial" w:eastAsia="Arial" w:hAnsi="Arial" w:cs="Arial"/>
          <w:sz w:val="24"/>
          <w:szCs w:val="24"/>
        </w:rPr>
        <w:t>Metodologia</w:t>
      </w:r>
    </w:p>
    <w:p w14:paraId="14DFBDDB" w14:textId="6F460F6A" w:rsidR="001D67A9" w:rsidRDefault="001D67A9" w:rsidP="002D741F">
      <w:pPr>
        <w:spacing w:before="240" w:after="240" w:line="360" w:lineRule="auto"/>
        <w:ind w:firstLine="720"/>
        <w:jc w:val="both"/>
        <w:rPr>
          <w:rFonts w:ascii="Arial" w:eastAsia="Arial" w:hAnsi="Arial" w:cs="Arial"/>
          <w:sz w:val="24"/>
          <w:szCs w:val="24"/>
        </w:rPr>
      </w:pPr>
      <w:r>
        <w:rPr>
          <w:rFonts w:ascii="Arial" w:eastAsia="Arial" w:hAnsi="Arial" w:cs="Arial"/>
          <w:sz w:val="24"/>
          <w:szCs w:val="24"/>
        </w:rPr>
        <w:t xml:space="preserve">Para alcançar o objetivo proposto, a pesquisa foi dividida em dois momentos: inicialmente, uma discussão que mostrou a relação entre a conformação da região e a atividade sucroalcooleira, buscando compreender como o Norte Fluminense foi estruturado, com relações interligadas ao processo produtivo da cana de açúcar; num segundo momento, foi necessário entender como os jornais podem funcionar como fonte de dados para a pesquisa geohistórica. O foco desta pesquisa se trata da crise do setor sucroalcooleiro do Norte Fluminense na década de 1980 e, para realizar esta análise, </w:t>
      </w:r>
      <w:r w:rsidR="0016572A">
        <w:rPr>
          <w:rFonts w:ascii="Arial" w:eastAsia="Arial" w:hAnsi="Arial" w:cs="Arial"/>
          <w:sz w:val="24"/>
          <w:szCs w:val="24"/>
        </w:rPr>
        <w:t xml:space="preserve">constituiu-se como metodologia e a análise de conteúdos pela perspectiva de Bardin (1977). </w:t>
      </w:r>
    </w:p>
    <w:p w14:paraId="6D955570" w14:textId="77777777" w:rsidR="00D17C15" w:rsidRDefault="00D17C15" w:rsidP="00D17C15">
      <w:pPr>
        <w:pStyle w:val="Ttulo2"/>
        <w:keepNext w:val="0"/>
        <w:keepLines w:val="0"/>
        <w:jc w:val="both"/>
        <w:rPr>
          <w:rFonts w:ascii="Arial" w:eastAsia="Arial" w:hAnsi="Arial" w:cs="Arial"/>
          <w:sz w:val="24"/>
          <w:szCs w:val="24"/>
        </w:rPr>
      </w:pPr>
      <w:bookmarkStart w:id="2" w:name="_c1wrm1ysj9z6" w:colFirst="0" w:colLast="0"/>
      <w:bookmarkEnd w:id="2"/>
      <w:r>
        <w:rPr>
          <w:rFonts w:ascii="Arial" w:eastAsia="Arial" w:hAnsi="Arial" w:cs="Arial"/>
          <w:sz w:val="24"/>
          <w:szCs w:val="24"/>
        </w:rPr>
        <w:t xml:space="preserve">3. </w:t>
      </w:r>
      <w:r w:rsidR="00C71E09">
        <w:rPr>
          <w:rFonts w:ascii="Arial" w:eastAsia="Arial" w:hAnsi="Arial" w:cs="Arial"/>
          <w:sz w:val="24"/>
          <w:szCs w:val="24"/>
        </w:rPr>
        <w:t>Resultados e Discussão</w:t>
      </w:r>
    </w:p>
    <w:p w14:paraId="4A0C48FC" w14:textId="47CA0F68" w:rsidR="004F3397" w:rsidRDefault="004F3397" w:rsidP="002D741F">
      <w:pPr>
        <w:spacing w:after="120" w:line="360" w:lineRule="auto"/>
        <w:jc w:val="both"/>
        <w:rPr>
          <w:rFonts w:ascii="Arial" w:eastAsia="Arial" w:hAnsi="Arial" w:cs="Arial"/>
          <w:sz w:val="24"/>
          <w:szCs w:val="24"/>
        </w:rPr>
      </w:pPr>
      <w:r>
        <w:rPr>
          <w:rFonts w:ascii="Arial" w:eastAsia="Arial" w:hAnsi="Arial" w:cs="Arial"/>
          <w:sz w:val="24"/>
          <w:szCs w:val="24"/>
        </w:rPr>
        <w:tab/>
        <w:t>Atualmente, nas discussões ligadas à região, percebe-se uma predominância dos debates ligados ao poder, à identidade e ao cultural. Quando se trata da região de poder, a ação política é enfatizada, que por muitas vezes é ignorada pelas análises regionais, mas possui um papel de destaque para a dinâmica regional. As forças políticas seriam expressas por atores individuais e coletivos e, do mesmo modo que influenciam a região, também são influenciadas por ela (Fonseca, 1999). Para este autor, o poder não é ligado somente ao Estado, mas também aos grupos sociais envolvidos nas dinâmicas. Sendo assim, o poder é multifacetado e multivariado (Fonseca, 1999</w:t>
      </w:r>
      <w:r w:rsidR="00EF1D31">
        <w:rPr>
          <w:rFonts w:ascii="Arial" w:eastAsia="Arial" w:hAnsi="Arial" w:cs="Arial"/>
          <w:sz w:val="24"/>
          <w:szCs w:val="24"/>
        </w:rPr>
        <w:t>).</w:t>
      </w:r>
    </w:p>
    <w:p w14:paraId="66D44EF9" w14:textId="77777777" w:rsidR="002D741F" w:rsidRDefault="004F3397" w:rsidP="002D741F">
      <w:pPr>
        <w:spacing w:after="120" w:line="360" w:lineRule="auto"/>
        <w:ind w:firstLine="720"/>
        <w:jc w:val="both"/>
        <w:rPr>
          <w:rFonts w:ascii="Arial" w:eastAsia="Arial" w:hAnsi="Arial" w:cs="Arial"/>
          <w:sz w:val="24"/>
          <w:szCs w:val="24"/>
        </w:rPr>
      </w:pPr>
      <w:r>
        <w:rPr>
          <w:rFonts w:ascii="Arial" w:eastAsia="Arial" w:hAnsi="Arial" w:cs="Arial"/>
          <w:sz w:val="24"/>
          <w:szCs w:val="24"/>
        </w:rPr>
        <w:t xml:space="preserve">Para Haesbaert (2010), a identidade </w:t>
      </w:r>
      <w:r w:rsidR="00BA4375">
        <w:rPr>
          <w:rFonts w:ascii="Arial" w:eastAsia="Arial" w:hAnsi="Arial" w:cs="Arial"/>
          <w:sz w:val="24"/>
          <w:szCs w:val="24"/>
        </w:rPr>
        <w:t>da região</w:t>
      </w:r>
      <w:r>
        <w:rPr>
          <w:rFonts w:ascii="Arial" w:eastAsia="Arial" w:hAnsi="Arial" w:cs="Arial"/>
          <w:sz w:val="24"/>
          <w:szCs w:val="24"/>
        </w:rPr>
        <w:t xml:space="preserve"> é a característica que a diferencia e é </w:t>
      </w:r>
      <w:r w:rsidR="00BA4375">
        <w:rPr>
          <w:rFonts w:ascii="Arial" w:eastAsia="Arial" w:hAnsi="Arial" w:cs="Arial"/>
          <w:sz w:val="24"/>
          <w:szCs w:val="24"/>
        </w:rPr>
        <w:t xml:space="preserve">utilizada pelos discursos políticos, científicos e econômicos para diferenciar as regiões por meio de classificações que excluem determinados elementos e acrescentam outros, delimitando e nomeando espaços e grupos de pessoas. </w:t>
      </w:r>
    </w:p>
    <w:p w14:paraId="6E145C93" w14:textId="04604BE4" w:rsidR="00D17C15" w:rsidRDefault="00BA4375" w:rsidP="002D741F">
      <w:pPr>
        <w:spacing w:after="120" w:line="360" w:lineRule="auto"/>
        <w:ind w:firstLine="720"/>
        <w:jc w:val="both"/>
        <w:rPr>
          <w:rFonts w:ascii="Arial" w:eastAsia="Arial" w:hAnsi="Arial" w:cs="Arial"/>
          <w:sz w:val="24"/>
          <w:szCs w:val="24"/>
        </w:rPr>
      </w:pPr>
      <w:r>
        <w:rPr>
          <w:rFonts w:ascii="Arial" w:eastAsia="Arial" w:hAnsi="Arial" w:cs="Arial"/>
          <w:sz w:val="24"/>
          <w:szCs w:val="24"/>
        </w:rPr>
        <w:t xml:space="preserve">Haesbaert (2010) considera a região como arte-fato, utilizando a palavra “arte” para relacioná-la a técnica, ao que é feito pelo homem, como uma criação, e “fato”, como construção já produzida e articulada. </w:t>
      </w:r>
    </w:p>
    <w:p w14:paraId="68EF7593" w14:textId="2AEDEB15" w:rsidR="00434344" w:rsidRDefault="00434344" w:rsidP="002D741F">
      <w:pPr>
        <w:spacing w:after="120" w:line="360" w:lineRule="auto"/>
        <w:ind w:firstLine="720"/>
        <w:jc w:val="both"/>
        <w:rPr>
          <w:rFonts w:ascii="Arial" w:eastAsia="Arial" w:hAnsi="Arial" w:cs="Arial"/>
          <w:sz w:val="24"/>
          <w:szCs w:val="24"/>
        </w:rPr>
      </w:pPr>
      <w:r>
        <w:rPr>
          <w:rFonts w:ascii="Arial" w:eastAsia="Arial" w:hAnsi="Arial" w:cs="Arial"/>
          <w:sz w:val="24"/>
          <w:szCs w:val="24"/>
        </w:rPr>
        <w:t xml:space="preserve">Considerando a região como uma criação, pode-se afirmar que o Norte Fluminense é uma “invenção”, pois foi e é construída por relações que a tornam </w:t>
      </w:r>
      <w:r>
        <w:rPr>
          <w:rFonts w:ascii="Arial" w:eastAsia="Arial" w:hAnsi="Arial" w:cs="Arial"/>
          <w:sz w:val="24"/>
          <w:szCs w:val="24"/>
        </w:rPr>
        <w:lastRenderedPageBreak/>
        <w:t>singular, como um produto das interações que foram/são presentes em sua delimitação (Mesquita, 2021). Neste sentido, Mesquita e Azevedo</w:t>
      </w:r>
      <w:r w:rsidR="00FA1FFA">
        <w:rPr>
          <w:rFonts w:ascii="Arial" w:eastAsia="Arial" w:hAnsi="Arial" w:cs="Arial"/>
          <w:sz w:val="24"/>
          <w:szCs w:val="24"/>
        </w:rPr>
        <w:t xml:space="preserve"> (2024)</w:t>
      </w:r>
      <w:r>
        <w:rPr>
          <w:rFonts w:ascii="Arial" w:eastAsia="Arial" w:hAnsi="Arial" w:cs="Arial"/>
          <w:sz w:val="24"/>
          <w:szCs w:val="24"/>
        </w:rPr>
        <w:t xml:space="preserve"> afirmam:</w:t>
      </w:r>
    </w:p>
    <w:p w14:paraId="55FF1E6C" w14:textId="313955FB" w:rsidR="00434344" w:rsidRDefault="00434344" w:rsidP="002D741F">
      <w:pPr>
        <w:spacing w:after="240" w:line="240" w:lineRule="auto"/>
        <w:ind w:left="2268"/>
        <w:jc w:val="both"/>
        <w:rPr>
          <w:rFonts w:ascii="Arial" w:eastAsia="Arial" w:hAnsi="Arial" w:cs="Arial"/>
          <w:sz w:val="20"/>
          <w:szCs w:val="20"/>
        </w:rPr>
      </w:pPr>
      <w:r w:rsidRPr="00434344">
        <w:rPr>
          <w:rFonts w:ascii="Arial" w:eastAsia="Arial" w:hAnsi="Arial" w:cs="Arial"/>
          <w:sz w:val="20"/>
          <w:szCs w:val="20"/>
        </w:rPr>
        <w:t xml:space="preserve">Como foi inventado e delimitado historicamente, possui uma imagem que o exterioriza e representa perante os demais espaços em contexto, ao mesmo tempo em que defines </w:t>
      </w:r>
      <w:r>
        <w:rPr>
          <w:rFonts w:ascii="Arial" w:eastAsia="Arial" w:hAnsi="Arial" w:cs="Arial"/>
          <w:sz w:val="20"/>
          <w:szCs w:val="20"/>
        </w:rPr>
        <w:t>s</w:t>
      </w:r>
      <w:r w:rsidRPr="00434344">
        <w:rPr>
          <w:rFonts w:ascii="Arial" w:eastAsia="Arial" w:hAnsi="Arial" w:cs="Arial"/>
          <w:sz w:val="20"/>
          <w:szCs w:val="20"/>
        </w:rPr>
        <w:t>uas fronteiras. Essa ação de reconhecimento é mobilizada para determinado fim, mas tem relação direta com os interesses dos grupos de poder que conformam seus limites</w:t>
      </w:r>
      <w:r>
        <w:rPr>
          <w:rFonts w:ascii="Arial" w:eastAsia="Arial" w:hAnsi="Arial" w:cs="Arial"/>
          <w:sz w:val="20"/>
          <w:szCs w:val="20"/>
        </w:rPr>
        <w:t xml:space="preserve"> (Mesquita e Azevedo, 2024, p. 451).</w:t>
      </w:r>
    </w:p>
    <w:p w14:paraId="2286F025" w14:textId="340B54F7" w:rsidR="00434344" w:rsidRDefault="00434344" w:rsidP="00434344">
      <w:pPr>
        <w:spacing w:after="240" w:line="360" w:lineRule="auto"/>
        <w:jc w:val="both"/>
        <w:rPr>
          <w:rFonts w:ascii="Arial" w:eastAsia="Arial" w:hAnsi="Arial" w:cs="Arial"/>
          <w:sz w:val="24"/>
          <w:szCs w:val="24"/>
        </w:rPr>
      </w:pPr>
      <w:r>
        <w:rPr>
          <w:rFonts w:ascii="Arial" w:eastAsia="Arial" w:hAnsi="Arial" w:cs="Arial"/>
          <w:sz w:val="24"/>
          <w:szCs w:val="24"/>
        </w:rPr>
        <w:tab/>
        <w:t xml:space="preserve">A partir desta discussão, entende-se que a região não pode ser entendida como algo “natural”, ou seja, como um recorte espacial que surgiu de forma quase espontânea. A região aqui é tratada como uma construção, derivada de dinâmicas históricas, sociais, culturais e políticas que produzem suas delimitações e, ao mesmo tempo, são influenciadas por esta produção (Albuquerque Jr., 2011). </w:t>
      </w:r>
    </w:p>
    <w:p w14:paraId="37B00468" w14:textId="131C4660" w:rsidR="00C45A11" w:rsidRPr="00C45A11" w:rsidRDefault="003354AE" w:rsidP="00C45A11">
      <w:pPr>
        <w:spacing w:after="240" w:line="360" w:lineRule="auto"/>
        <w:jc w:val="both"/>
        <w:rPr>
          <w:rFonts w:ascii="Arial" w:eastAsia="Arial" w:hAnsi="Arial" w:cs="Arial"/>
          <w:b/>
          <w:bCs/>
          <w:sz w:val="24"/>
          <w:szCs w:val="24"/>
        </w:rPr>
      </w:pPr>
      <w:r w:rsidRPr="003354AE">
        <w:rPr>
          <w:rFonts w:ascii="Arial" w:eastAsia="Arial" w:hAnsi="Arial" w:cs="Arial"/>
          <w:b/>
          <w:bCs/>
          <w:sz w:val="24"/>
          <w:szCs w:val="24"/>
        </w:rPr>
        <w:t>3.1 A “invenção” da Região Norte Fluminense</w:t>
      </w:r>
    </w:p>
    <w:p w14:paraId="16946B0A" w14:textId="3F0DCC6D" w:rsidR="003354AE" w:rsidRDefault="003354AE" w:rsidP="002D741F">
      <w:pPr>
        <w:spacing w:after="120" w:line="360" w:lineRule="auto"/>
        <w:jc w:val="both"/>
        <w:rPr>
          <w:rFonts w:ascii="Arial" w:eastAsia="Arial" w:hAnsi="Arial" w:cs="Arial"/>
          <w:sz w:val="24"/>
          <w:szCs w:val="24"/>
        </w:rPr>
      </w:pPr>
      <w:r>
        <w:rPr>
          <w:rFonts w:ascii="Arial" w:eastAsia="Arial" w:hAnsi="Arial" w:cs="Arial"/>
          <w:sz w:val="20"/>
          <w:szCs w:val="20"/>
        </w:rPr>
        <w:tab/>
      </w:r>
      <w:r w:rsidRPr="006E4BA2">
        <w:rPr>
          <w:rFonts w:ascii="Arial" w:eastAsia="Arial" w:hAnsi="Arial" w:cs="Arial"/>
          <w:sz w:val="24"/>
          <w:szCs w:val="24"/>
        </w:rPr>
        <w:t>A relação do Norte Fluminense com a cana-de-açúcar começou ainda no século XVI, com a intensificação da colonização portuguesa em terras que posteriormente se tornaram o Brasil. Neste período, constituiu-se a capitania de São Tomé, que foi doada para Pero de Góes em 1536, responsável por introduzir o primeiro plantio de cana na região. Apesar disso, enfrentou uma série de problemas</w:t>
      </w:r>
      <w:r w:rsidR="006E4BA2" w:rsidRPr="006E4BA2">
        <w:rPr>
          <w:rFonts w:ascii="Arial" w:eastAsia="Arial" w:hAnsi="Arial" w:cs="Arial"/>
          <w:sz w:val="24"/>
          <w:szCs w:val="24"/>
        </w:rPr>
        <w:t xml:space="preserve">, como falta de recursos financeiros e conflito com indígenas (Mesquita, 2021). </w:t>
      </w:r>
    </w:p>
    <w:p w14:paraId="2C799803" w14:textId="2DBDDEE0" w:rsidR="006E4BA2" w:rsidRDefault="006E4BA2" w:rsidP="002D741F">
      <w:pPr>
        <w:spacing w:after="120" w:line="360" w:lineRule="auto"/>
        <w:jc w:val="both"/>
        <w:rPr>
          <w:rFonts w:ascii="Arial" w:eastAsia="Arial" w:hAnsi="Arial" w:cs="Arial"/>
          <w:sz w:val="24"/>
          <w:szCs w:val="24"/>
        </w:rPr>
      </w:pPr>
      <w:r>
        <w:rPr>
          <w:rFonts w:ascii="Arial" w:eastAsia="Arial" w:hAnsi="Arial" w:cs="Arial"/>
          <w:sz w:val="24"/>
          <w:szCs w:val="24"/>
        </w:rPr>
        <w:tab/>
        <w:t xml:space="preserve">Com estas problemáticas, Pero de Góis abre mão da capitania de São Tomé, cedendo-a ao seu neto, Gil de Góis. Assim como seu avô, não obteve sucesso e cedeu as terras, que passaram a compor a capitania do Rio de Janeiro (Paranhos, 2010). </w:t>
      </w:r>
    </w:p>
    <w:p w14:paraId="0FB621C4" w14:textId="0F142277" w:rsidR="00C45A11" w:rsidRDefault="00C45A11" w:rsidP="002D741F">
      <w:pPr>
        <w:spacing w:after="120" w:line="360" w:lineRule="auto"/>
        <w:jc w:val="both"/>
        <w:rPr>
          <w:rFonts w:ascii="Arial" w:eastAsia="Arial" w:hAnsi="Arial" w:cs="Arial"/>
          <w:sz w:val="24"/>
          <w:szCs w:val="24"/>
        </w:rPr>
      </w:pPr>
      <w:r>
        <w:rPr>
          <w:rFonts w:ascii="Arial" w:eastAsia="Arial" w:hAnsi="Arial" w:cs="Arial"/>
          <w:sz w:val="24"/>
          <w:szCs w:val="24"/>
        </w:rPr>
        <w:tab/>
        <w:t xml:space="preserve">Posteriormente, no século XVIII, as dinâmicas regionais foram intensificadas. De forma gradual, a produção açucareira e os engenhos começaram a se instalar na região. A Vila de São Salvador logo começou a ser descrita como rica e populosa, evidenciando como o Norte Fluminense começou a ganhar notoriedade no cenário nacional, o que se intensificou na virada do século XVIII para o século XIX (Mesquita e Azevedo, 2024). </w:t>
      </w:r>
    </w:p>
    <w:p w14:paraId="0FD685BD" w14:textId="26CC4EFF" w:rsidR="00C45A11" w:rsidRDefault="00C45A11" w:rsidP="002D741F">
      <w:pPr>
        <w:spacing w:after="120" w:line="360" w:lineRule="auto"/>
        <w:jc w:val="both"/>
        <w:rPr>
          <w:rFonts w:ascii="Arial" w:eastAsia="Arial" w:hAnsi="Arial" w:cs="Arial"/>
          <w:sz w:val="24"/>
          <w:szCs w:val="24"/>
        </w:rPr>
      </w:pPr>
      <w:r>
        <w:rPr>
          <w:rFonts w:ascii="Arial" w:eastAsia="Arial" w:hAnsi="Arial" w:cs="Arial"/>
          <w:sz w:val="24"/>
          <w:szCs w:val="24"/>
        </w:rPr>
        <w:tab/>
        <w:t xml:space="preserve">No século XX, esse crescimento se intensificou, reforçando as dinâmicas regionais. Mais notadamente a partir da década de 1980, a crise se consolidou no </w:t>
      </w:r>
      <w:r>
        <w:rPr>
          <w:rFonts w:ascii="Arial" w:eastAsia="Arial" w:hAnsi="Arial" w:cs="Arial"/>
          <w:sz w:val="24"/>
          <w:szCs w:val="24"/>
        </w:rPr>
        <w:lastRenderedPageBreak/>
        <w:t>setor sucroalcooleiro do Norte Fluminense. Pode-se destacar diversos motivos para esse declínio, como a baixa produtividade de insumos e concorrência com outras zonas produtivas (Mesquita, 2021). Para Mesquita e Azevedo (2024):</w:t>
      </w:r>
    </w:p>
    <w:p w14:paraId="0BEEEBD2" w14:textId="2480F5B9" w:rsidR="00C45A11" w:rsidRDefault="00C45A11" w:rsidP="00C45A11">
      <w:pPr>
        <w:spacing w:after="240" w:line="240" w:lineRule="auto"/>
        <w:ind w:left="2268"/>
        <w:jc w:val="both"/>
        <w:rPr>
          <w:rFonts w:ascii="Arial" w:eastAsia="Arial" w:hAnsi="Arial" w:cs="Arial"/>
          <w:sz w:val="20"/>
          <w:szCs w:val="20"/>
        </w:rPr>
      </w:pPr>
      <w:r w:rsidRPr="00C45A11">
        <w:rPr>
          <w:rFonts w:ascii="Arial" w:eastAsia="Arial" w:hAnsi="Arial" w:cs="Arial"/>
          <w:sz w:val="20"/>
          <w:szCs w:val="20"/>
        </w:rPr>
        <w:t>De toda forma, a região foi constituída tendo esta atividade como referência. Nesse processo, a propagação do ideário do grupo dominante foi uma tarefa importante</w:t>
      </w:r>
      <w:r>
        <w:rPr>
          <w:rFonts w:ascii="Arial" w:eastAsia="Arial" w:hAnsi="Arial" w:cs="Arial"/>
          <w:sz w:val="20"/>
          <w:szCs w:val="20"/>
        </w:rPr>
        <w:t xml:space="preserve"> </w:t>
      </w:r>
      <w:r w:rsidRPr="00C45A11">
        <w:rPr>
          <w:rFonts w:ascii="Arial" w:eastAsia="Arial" w:hAnsi="Arial" w:cs="Arial"/>
          <w:sz w:val="20"/>
          <w:szCs w:val="20"/>
        </w:rPr>
        <w:t>e teve nos jornais um importante instrumento de consolidação da dinâmica vigente, pois</w:t>
      </w:r>
      <w:r>
        <w:rPr>
          <w:rFonts w:ascii="Arial" w:eastAsia="Arial" w:hAnsi="Arial" w:cs="Arial"/>
          <w:sz w:val="20"/>
          <w:szCs w:val="20"/>
        </w:rPr>
        <w:t xml:space="preserve"> </w:t>
      </w:r>
      <w:r w:rsidRPr="00C45A11">
        <w:rPr>
          <w:rFonts w:ascii="Arial" w:eastAsia="Arial" w:hAnsi="Arial" w:cs="Arial"/>
          <w:sz w:val="20"/>
          <w:szCs w:val="20"/>
        </w:rPr>
        <w:t>colocaram na ordem do dia aquilo as necessidades da elite sucroalcooleira. Assim, pode-se afirmar que os jornais vinculados à elite canavieira exerceram importante papel na</w:t>
      </w:r>
      <w:r>
        <w:rPr>
          <w:rFonts w:ascii="Arial" w:eastAsia="Arial" w:hAnsi="Arial" w:cs="Arial"/>
          <w:sz w:val="20"/>
          <w:szCs w:val="20"/>
        </w:rPr>
        <w:t xml:space="preserve"> </w:t>
      </w:r>
      <w:r w:rsidRPr="00C45A11">
        <w:rPr>
          <w:rFonts w:ascii="Arial" w:eastAsia="Arial" w:hAnsi="Arial" w:cs="Arial"/>
          <w:sz w:val="20"/>
          <w:szCs w:val="20"/>
        </w:rPr>
        <w:t>legitimação e conformação da identidade regional do Norte Fluminense</w:t>
      </w:r>
      <w:r w:rsidR="00161A13">
        <w:rPr>
          <w:rFonts w:ascii="Arial" w:eastAsia="Arial" w:hAnsi="Arial" w:cs="Arial"/>
          <w:sz w:val="20"/>
          <w:szCs w:val="20"/>
        </w:rPr>
        <w:t xml:space="preserve"> </w:t>
      </w:r>
      <w:r>
        <w:rPr>
          <w:rFonts w:ascii="Arial" w:eastAsia="Arial" w:hAnsi="Arial" w:cs="Arial"/>
          <w:sz w:val="20"/>
          <w:szCs w:val="20"/>
        </w:rPr>
        <w:t>(Mesquita e Azevedo, 2024, p.</w:t>
      </w:r>
      <w:r w:rsidR="005E2A2D">
        <w:rPr>
          <w:rFonts w:ascii="Arial" w:eastAsia="Arial" w:hAnsi="Arial" w:cs="Arial"/>
          <w:sz w:val="20"/>
          <w:szCs w:val="20"/>
        </w:rPr>
        <w:t xml:space="preserve"> 454).</w:t>
      </w:r>
    </w:p>
    <w:p w14:paraId="47A94C96" w14:textId="5D1942FD" w:rsidR="005E2A2D" w:rsidRPr="005E2A2D" w:rsidRDefault="005E2A2D" w:rsidP="005E2A2D">
      <w:pPr>
        <w:spacing w:after="240" w:line="360" w:lineRule="auto"/>
        <w:jc w:val="both"/>
        <w:rPr>
          <w:rFonts w:ascii="Arial" w:eastAsia="Arial" w:hAnsi="Arial" w:cs="Arial"/>
          <w:b/>
          <w:bCs/>
          <w:sz w:val="24"/>
          <w:szCs w:val="24"/>
        </w:rPr>
      </w:pPr>
      <w:r w:rsidRPr="005E2A2D">
        <w:rPr>
          <w:rFonts w:ascii="Arial" w:eastAsia="Arial" w:hAnsi="Arial" w:cs="Arial"/>
          <w:b/>
          <w:bCs/>
          <w:sz w:val="24"/>
          <w:szCs w:val="24"/>
        </w:rPr>
        <w:t>3.2 Mídias impressas como fonte de informações</w:t>
      </w:r>
    </w:p>
    <w:p w14:paraId="0587F8FB" w14:textId="04951DDE" w:rsidR="005E2A2D" w:rsidRDefault="005E2A2D" w:rsidP="002D741F">
      <w:pPr>
        <w:spacing w:after="120" w:line="360" w:lineRule="auto"/>
        <w:jc w:val="both"/>
        <w:rPr>
          <w:rFonts w:ascii="Arial" w:eastAsia="Arial" w:hAnsi="Arial" w:cs="Arial"/>
          <w:sz w:val="24"/>
          <w:szCs w:val="24"/>
        </w:rPr>
      </w:pPr>
      <w:r>
        <w:rPr>
          <w:rFonts w:ascii="Arial" w:eastAsia="Arial" w:hAnsi="Arial" w:cs="Arial"/>
          <w:sz w:val="24"/>
          <w:szCs w:val="24"/>
        </w:rPr>
        <w:tab/>
        <w:t xml:space="preserve">As mídias impressas são objetos fundamentais das sociedades urbanas nos últimos três séculos, sendo consideradas fontes historiográficas há cerca de quatro décadas. Isso se deve ao fato dos jornais serem dotados de informações importantes para uma melhor compreensão acerca das sociedades vigentes na época de sua publicação (Barros, 2021). Para Charaudeau (2013), as mídias são atores ativos da informação, que manifestam relações de poder instituídas. </w:t>
      </w:r>
    </w:p>
    <w:p w14:paraId="3A6A3C8D" w14:textId="78237DF8" w:rsidR="00BB251A" w:rsidRDefault="00BB251A" w:rsidP="002D741F">
      <w:pPr>
        <w:spacing w:after="120" w:line="360" w:lineRule="auto"/>
        <w:jc w:val="both"/>
        <w:rPr>
          <w:rFonts w:ascii="Arial" w:eastAsia="Arial" w:hAnsi="Arial" w:cs="Arial"/>
          <w:sz w:val="24"/>
          <w:szCs w:val="24"/>
        </w:rPr>
      </w:pPr>
      <w:r>
        <w:rPr>
          <w:rFonts w:ascii="Arial" w:eastAsia="Arial" w:hAnsi="Arial" w:cs="Arial"/>
          <w:sz w:val="24"/>
          <w:szCs w:val="24"/>
        </w:rPr>
        <w:tab/>
        <w:t xml:space="preserve">Os discursos postos nos jornais são relevantes para o entendimento do contexto em que as notícias foram produzidas. Ressalta-se que as capas dos jornais são de extrema importância para compreensão das dinâmicas ligadas a produção dos escritos e, deste modo, são centrais para o entendimento de dinâmicas sociais importantes (Piris, 2016). </w:t>
      </w:r>
    </w:p>
    <w:p w14:paraId="25A0C856" w14:textId="621E88D2" w:rsidR="00BB251A" w:rsidRDefault="00BB251A" w:rsidP="002D741F">
      <w:pPr>
        <w:spacing w:after="120" w:line="360" w:lineRule="auto"/>
        <w:jc w:val="both"/>
        <w:rPr>
          <w:rFonts w:ascii="Arial" w:eastAsia="Arial" w:hAnsi="Arial" w:cs="Arial"/>
          <w:sz w:val="24"/>
          <w:szCs w:val="24"/>
        </w:rPr>
      </w:pPr>
      <w:r>
        <w:rPr>
          <w:rFonts w:ascii="Arial" w:eastAsia="Arial" w:hAnsi="Arial" w:cs="Arial"/>
          <w:sz w:val="24"/>
          <w:szCs w:val="24"/>
        </w:rPr>
        <w:tab/>
        <w:t xml:space="preserve">Tendo essas questões em vista, torna-se fundamental compreender como a elite canavieira utilizava as mídias impressas como forma de legitimar suas ações. O Jornal Monitor Campista foi criado em 4 de janeiro de 1834, por José Gomes da Fonseca Parahyba. Em 1936, foi adquirido por Assis Chateaubriand que tinha como objetivo ser dono dos três jornais mais antigos em circulação no Brasil naquela época. Desde a sua gênese, o Monitor Campista trazia o ideário dos Barões de Açúcar do Norte Fluminense (Mesquita, 2021). </w:t>
      </w:r>
    </w:p>
    <w:p w14:paraId="0F10AD57" w14:textId="77777777" w:rsidR="008E1C36" w:rsidRDefault="00BB251A" w:rsidP="002D741F">
      <w:pPr>
        <w:spacing w:after="120" w:line="360" w:lineRule="auto"/>
        <w:jc w:val="both"/>
        <w:rPr>
          <w:rFonts w:ascii="Arial" w:eastAsia="Arial" w:hAnsi="Arial" w:cs="Arial"/>
          <w:sz w:val="24"/>
          <w:szCs w:val="24"/>
        </w:rPr>
      </w:pPr>
      <w:r>
        <w:rPr>
          <w:rFonts w:ascii="Arial" w:eastAsia="Arial" w:hAnsi="Arial" w:cs="Arial"/>
          <w:sz w:val="24"/>
          <w:szCs w:val="24"/>
        </w:rPr>
        <w:tab/>
        <w:t>Para realização desta pesquisa, elaborou-se uma metodologia baseada na análise de conteúdo de Bardin (1977)</w:t>
      </w:r>
      <w:r w:rsidR="008E1C36">
        <w:rPr>
          <w:rFonts w:ascii="Arial" w:eastAsia="Arial" w:hAnsi="Arial" w:cs="Arial"/>
          <w:sz w:val="24"/>
          <w:szCs w:val="24"/>
        </w:rPr>
        <w:t xml:space="preserve">, que considera a análise de conteúdo como “um conjunto de técnicas de análise das comunicações, que utiliza procedimentos </w:t>
      </w:r>
      <w:r w:rsidR="008E1C36">
        <w:rPr>
          <w:rFonts w:ascii="Arial" w:eastAsia="Arial" w:hAnsi="Arial" w:cs="Arial"/>
          <w:sz w:val="24"/>
          <w:szCs w:val="24"/>
        </w:rPr>
        <w:lastRenderedPageBreak/>
        <w:t xml:space="preserve">sistemáticos e objetivos de descrição do conteúdo das mensagens (Bardin, 1977, p. 38)”. </w:t>
      </w:r>
      <w:r w:rsidR="008E1C36" w:rsidRPr="008E1C36">
        <w:rPr>
          <w:rFonts w:ascii="Arial" w:eastAsia="Arial" w:hAnsi="Arial" w:cs="Arial"/>
          <w:sz w:val="24"/>
          <w:szCs w:val="24"/>
        </w:rPr>
        <w:t>As edições anuais do jornal Monitor Campista se encontram no Arquivo Público</w:t>
      </w:r>
      <w:r w:rsidR="008E1C36">
        <w:rPr>
          <w:rFonts w:ascii="Arial" w:eastAsia="Arial" w:hAnsi="Arial" w:cs="Arial"/>
          <w:sz w:val="24"/>
          <w:szCs w:val="24"/>
        </w:rPr>
        <w:t xml:space="preserve"> </w:t>
      </w:r>
      <w:r w:rsidR="008E1C36" w:rsidRPr="008E1C36">
        <w:rPr>
          <w:rFonts w:ascii="Arial" w:eastAsia="Arial" w:hAnsi="Arial" w:cs="Arial"/>
          <w:sz w:val="24"/>
          <w:szCs w:val="24"/>
        </w:rPr>
        <w:t xml:space="preserve">Municipal Waldir Pinto de Carvalho, que as disponibilizam para pesquisa. </w:t>
      </w:r>
    </w:p>
    <w:p w14:paraId="1BAE1AA5" w14:textId="5536E833" w:rsidR="00BB251A" w:rsidRDefault="008E1C36" w:rsidP="002D741F">
      <w:pPr>
        <w:spacing w:after="120" w:line="360" w:lineRule="auto"/>
        <w:ind w:firstLine="720"/>
        <w:jc w:val="both"/>
        <w:rPr>
          <w:rFonts w:ascii="Arial" w:eastAsia="Arial" w:hAnsi="Arial" w:cs="Arial"/>
          <w:sz w:val="24"/>
          <w:szCs w:val="24"/>
        </w:rPr>
      </w:pPr>
      <w:r w:rsidRPr="008E1C36">
        <w:rPr>
          <w:rFonts w:ascii="Arial" w:eastAsia="Arial" w:hAnsi="Arial" w:cs="Arial"/>
          <w:sz w:val="24"/>
          <w:szCs w:val="24"/>
        </w:rPr>
        <w:t>O</w:t>
      </w:r>
      <w:r>
        <w:rPr>
          <w:rFonts w:ascii="Arial" w:eastAsia="Arial" w:hAnsi="Arial" w:cs="Arial"/>
          <w:sz w:val="24"/>
          <w:szCs w:val="24"/>
        </w:rPr>
        <w:t xml:space="preserve"> </w:t>
      </w:r>
      <w:r w:rsidRPr="008E1C36">
        <w:rPr>
          <w:rFonts w:ascii="Arial" w:eastAsia="Arial" w:hAnsi="Arial" w:cs="Arial"/>
          <w:sz w:val="24"/>
          <w:szCs w:val="24"/>
        </w:rPr>
        <w:t>setor</w:t>
      </w:r>
      <w:r>
        <w:rPr>
          <w:rFonts w:ascii="Arial" w:eastAsia="Arial" w:hAnsi="Arial" w:cs="Arial"/>
          <w:sz w:val="24"/>
          <w:szCs w:val="24"/>
        </w:rPr>
        <w:t xml:space="preserve"> </w:t>
      </w:r>
      <w:r w:rsidRPr="008E1C36">
        <w:rPr>
          <w:rFonts w:ascii="Arial" w:eastAsia="Arial" w:hAnsi="Arial" w:cs="Arial"/>
          <w:sz w:val="24"/>
          <w:szCs w:val="24"/>
        </w:rPr>
        <w:t>sucroalcooleiro do Norte Fluminense começa a vivenciar momentos de crise a partir de</w:t>
      </w:r>
      <w:r>
        <w:rPr>
          <w:rFonts w:ascii="Arial" w:eastAsia="Arial" w:hAnsi="Arial" w:cs="Arial"/>
          <w:sz w:val="24"/>
          <w:szCs w:val="24"/>
        </w:rPr>
        <w:t xml:space="preserve"> </w:t>
      </w:r>
      <w:r w:rsidRPr="008E1C36">
        <w:rPr>
          <w:rFonts w:ascii="Arial" w:eastAsia="Arial" w:hAnsi="Arial" w:cs="Arial"/>
          <w:sz w:val="24"/>
          <w:szCs w:val="24"/>
        </w:rPr>
        <w:t>1950</w:t>
      </w:r>
      <w:r>
        <w:rPr>
          <w:rFonts w:ascii="Arial" w:eastAsia="Arial" w:hAnsi="Arial" w:cs="Arial"/>
          <w:sz w:val="24"/>
          <w:szCs w:val="24"/>
        </w:rPr>
        <w:t xml:space="preserve">, mas algumas medidas foram capazes de manter a produção do setor. É somente na década de 1980 que a produção deixou de ser significativa frente ao contexto nacional. Por esse motivo, os jornais dos anos de 1980, 1983 e 1985 foram escolhidos para os procedimentos analíticos. </w:t>
      </w:r>
      <w:r w:rsidRPr="008E1C36">
        <w:rPr>
          <w:rFonts w:ascii="Arial" w:eastAsia="Arial" w:hAnsi="Arial" w:cs="Arial"/>
          <w:sz w:val="24"/>
          <w:szCs w:val="24"/>
        </w:rPr>
        <w:t>O</w:t>
      </w:r>
      <w:r>
        <w:rPr>
          <w:rFonts w:ascii="Arial" w:eastAsia="Arial" w:hAnsi="Arial" w:cs="Arial"/>
          <w:sz w:val="24"/>
          <w:szCs w:val="24"/>
        </w:rPr>
        <w:t xml:space="preserve"> </w:t>
      </w:r>
      <w:r w:rsidRPr="008E1C36">
        <w:rPr>
          <w:rFonts w:ascii="Arial" w:eastAsia="Arial" w:hAnsi="Arial" w:cs="Arial"/>
          <w:sz w:val="24"/>
          <w:szCs w:val="24"/>
        </w:rPr>
        <w:t>intuito era perceber como a elite canavieira, no contexto de crise, reproduzia seu</w:t>
      </w:r>
      <w:r>
        <w:rPr>
          <w:rFonts w:ascii="Arial" w:eastAsia="Arial" w:hAnsi="Arial" w:cs="Arial"/>
          <w:sz w:val="24"/>
          <w:szCs w:val="24"/>
        </w:rPr>
        <w:t xml:space="preserve"> </w:t>
      </w:r>
      <w:r w:rsidRPr="008E1C36">
        <w:rPr>
          <w:rFonts w:ascii="Arial" w:eastAsia="Arial" w:hAnsi="Arial" w:cs="Arial"/>
          <w:sz w:val="24"/>
          <w:szCs w:val="24"/>
        </w:rPr>
        <w:t>discurso na mídia local para legitimar suas ações e manter sua dominação.</w:t>
      </w:r>
    </w:p>
    <w:p w14:paraId="06992AD5" w14:textId="1797F082" w:rsidR="008E1C36" w:rsidRDefault="008E1C36" w:rsidP="002D741F">
      <w:pPr>
        <w:spacing w:after="120" w:line="360" w:lineRule="auto"/>
        <w:ind w:firstLine="720"/>
        <w:jc w:val="both"/>
        <w:rPr>
          <w:rFonts w:ascii="Arial" w:eastAsia="Arial" w:hAnsi="Arial" w:cs="Arial"/>
          <w:sz w:val="24"/>
          <w:szCs w:val="24"/>
        </w:rPr>
      </w:pPr>
      <w:r>
        <w:rPr>
          <w:rFonts w:ascii="Arial" w:eastAsia="Arial" w:hAnsi="Arial" w:cs="Arial"/>
          <w:sz w:val="24"/>
          <w:szCs w:val="24"/>
        </w:rPr>
        <w:t xml:space="preserve">Após delimitar o recorte temporal, iniciou-se a busca nas capas de jornas as reportagens que tratavam de dinâmicas relacionadas ao setor sucroalcooleiro do Norte Fluminense. Com base em Bardin (1977), os dados foram sistematizados por categorias. Utilizamos dos sentidos e significados das reportagens para criar uma codificação que permitisse o entendimento dos processos que ocorriam nesse período. Assim, sistematizamos em quatro categorias: </w:t>
      </w:r>
      <w:r w:rsidRPr="008E1C36">
        <w:rPr>
          <w:rFonts w:ascii="Arial" w:eastAsia="Arial" w:hAnsi="Arial" w:cs="Arial"/>
          <w:sz w:val="24"/>
          <w:szCs w:val="24"/>
        </w:rPr>
        <w:t>Relatos de dificuldade e crise do</w:t>
      </w:r>
      <w:r>
        <w:rPr>
          <w:rFonts w:ascii="Arial" w:eastAsia="Arial" w:hAnsi="Arial" w:cs="Arial"/>
          <w:sz w:val="24"/>
          <w:szCs w:val="24"/>
        </w:rPr>
        <w:t xml:space="preserve"> </w:t>
      </w:r>
      <w:r w:rsidRPr="008E1C36">
        <w:rPr>
          <w:rFonts w:ascii="Arial" w:eastAsia="Arial" w:hAnsi="Arial" w:cs="Arial"/>
          <w:sz w:val="24"/>
          <w:szCs w:val="24"/>
        </w:rPr>
        <w:t>setor</w:t>
      </w:r>
      <w:r>
        <w:rPr>
          <w:rFonts w:ascii="Arial" w:eastAsia="Arial" w:hAnsi="Arial" w:cs="Arial"/>
          <w:sz w:val="24"/>
          <w:szCs w:val="24"/>
        </w:rPr>
        <w:t xml:space="preserve"> </w:t>
      </w:r>
      <w:r w:rsidRPr="008E1C36">
        <w:rPr>
          <w:rFonts w:ascii="Arial" w:eastAsia="Arial" w:hAnsi="Arial" w:cs="Arial"/>
          <w:sz w:val="24"/>
          <w:szCs w:val="24"/>
        </w:rPr>
        <w:t>sucroalcooleiro; Relatos de ações que levariam ao sucesso da produção; Relatos de</w:t>
      </w:r>
      <w:r>
        <w:rPr>
          <w:rFonts w:ascii="Arial" w:eastAsia="Arial" w:hAnsi="Arial" w:cs="Arial"/>
          <w:sz w:val="24"/>
          <w:szCs w:val="24"/>
        </w:rPr>
        <w:t xml:space="preserve"> </w:t>
      </w:r>
      <w:r w:rsidRPr="008E1C36">
        <w:rPr>
          <w:rFonts w:ascii="Arial" w:eastAsia="Arial" w:hAnsi="Arial" w:cs="Arial"/>
          <w:sz w:val="24"/>
          <w:szCs w:val="24"/>
        </w:rPr>
        <w:t>sucesso da produção; Outros</w:t>
      </w:r>
      <w:r>
        <w:rPr>
          <w:rFonts w:ascii="Arial" w:eastAsia="Arial" w:hAnsi="Arial" w:cs="Arial"/>
          <w:sz w:val="24"/>
          <w:szCs w:val="24"/>
        </w:rPr>
        <w:t>.</w:t>
      </w:r>
    </w:p>
    <w:p w14:paraId="7695F6D9" w14:textId="240CBC13" w:rsidR="00172D9E" w:rsidRDefault="008E1C36" w:rsidP="00FA1FFA">
      <w:pPr>
        <w:spacing w:after="120" w:line="360" w:lineRule="auto"/>
        <w:ind w:firstLine="720"/>
        <w:jc w:val="both"/>
        <w:rPr>
          <w:rFonts w:ascii="Arial" w:eastAsia="Arial" w:hAnsi="Arial" w:cs="Arial"/>
          <w:sz w:val="24"/>
          <w:szCs w:val="24"/>
        </w:rPr>
      </w:pPr>
      <w:r>
        <w:rPr>
          <w:rFonts w:ascii="Arial" w:eastAsia="Arial" w:hAnsi="Arial" w:cs="Arial"/>
          <w:sz w:val="24"/>
          <w:szCs w:val="24"/>
        </w:rPr>
        <w:t xml:space="preserve">A categoria </w:t>
      </w:r>
      <w:r w:rsidR="00172D9E">
        <w:rPr>
          <w:rFonts w:ascii="Arial" w:eastAsia="Arial" w:hAnsi="Arial" w:cs="Arial"/>
          <w:sz w:val="24"/>
          <w:szCs w:val="24"/>
        </w:rPr>
        <w:t>“</w:t>
      </w:r>
      <w:r>
        <w:rPr>
          <w:rFonts w:ascii="Arial" w:eastAsia="Arial" w:hAnsi="Arial" w:cs="Arial"/>
          <w:sz w:val="24"/>
          <w:szCs w:val="24"/>
        </w:rPr>
        <w:t>Relatos de dificuldade e crise do setor sucroalcooleiro</w:t>
      </w:r>
      <w:r w:rsidR="00172D9E">
        <w:rPr>
          <w:rFonts w:ascii="Arial" w:eastAsia="Arial" w:hAnsi="Arial" w:cs="Arial"/>
          <w:sz w:val="24"/>
          <w:szCs w:val="24"/>
        </w:rPr>
        <w:t>”</w:t>
      </w:r>
      <w:r>
        <w:rPr>
          <w:rFonts w:ascii="Arial" w:eastAsia="Arial" w:hAnsi="Arial" w:cs="Arial"/>
          <w:sz w:val="24"/>
          <w:szCs w:val="24"/>
        </w:rPr>
        <w:t xml:space="preserve"> foi criada devido a grande quantidade de reportagens que </w:t>
      </w:r>
      <w:r w:rsidR="00172D9E">
        <w:rPr>
          <w:rFonts w:ascii="Arial" w:eastAsia="Arial" w:hAnsi="Arial" w:cs="Arial"/>
          <w:sz w:val="24"/>
          <w:szCs w:val="24"/>
        </w:rPr>
        <w:t xml:space="preserve">relatavam as dificuldades encontradas pelo setor no Norte Fluminense, como redução da produção, falência de usinas, desemprego, greves e outras questões. Apesar disso, notícias que trabalhavam uma visão positiva da atividade sucroalcooleira na região ainda eram comuns. Foi possível encontrar diversas reportagens que mostravam ações que poderiam solucionar a crise e retomar o crescimento da produção, que categorizamos como “Relatos de ações que levariam ao sucesso da produção”. Havia também aquelas que exaltavam os aspectos positivos da produção, categorizadas como “Relatos de sucesso da produção”. </w:t>
      </w:r>
      <w:r w:rsidR="00172D9E" w:rsidRPr="00172D9E">
        <w:rPr>
          <w:rFonts w:ascii="Arial" w:eastAsia="Arial" w:hAnsi="Arial" w:cs="Arial"/>
          <w:sz w:val="24"/>
          <w:szCs w:val="24"/>
        </w:rPr>
        <w:t>A última classificação, intitulada “Outros”, armazena as reportagens</w:t>
      </w:r>
      <w:r w:rsidR="00172D9E">
        <w:rPr>
          <w:rFonts w:ascii="Arial" w:eastAsia="Arial" w:hAnsi="Arial" w:cs="Arial"/>
          <w:sz w:val="24"/>
          <w:szCs w:val="24"/>
        </w:rPr>
        <w:t xml:space="preserve"> </w:t>
      </w:r>
      <w:r w:rsidR="00172D9E" w:rsidRPr="00172D9E">
        <w:rPr>
          <w:rFonts w:ascii="Arial" w:eastAsia="Arial" w:hAnsi="Arial" w:cs="Arial"/>
          <w:sz w:val="24"/>
          <w:szCs w:val="24"/>
        </w:rPr>
        <w:t>vinculadas a cana, mas que não tratavam dessas relações vinculadas às categorias</w:t>
      </w:r>
      <w:r w:rsidR="00172D9E">
        <w:rPr>
          <w:rFonts w:ascii="Arial" w:eastAsia="Arial" w:hAnsi="Arial" w:cs="Arial"/>
          <w:sz w:val="24"/>
          <w:szCs w:val="24"/>
        </w:rPr>
        <w:t xml:space="preserve">. Deste modo, foram categorizadas 124 reportagens, como demonstra a tabela 1. </w:t>
      </w:r>
    </w:p>
    <w:p w14:paraId="5E5D3666" w14:textId="77777777" w:rsidR="000C7E68" w:rsidRPr="000C7E68" w:rsidRDefault="000C7E68" w:rsidP="000C7E68">
      <w:pPr>
        <w:spacing w:after="0" w:line="240" w:lineRule="auto"/>
        <w:ind w:right="-1"/>
        <w:jc w:val="center"/>
        <w:rPr>
          <w:rFonts w:ascii="Arial" w:eastAsia="Times New Roman" w:hAnsi="Arial" w:cs="Arial"/>
          <w:sz w:val="20"/>
          <w:szCs w:val="20"/>
        </w:rPr>
      </w:pPr>
      <w:r w:rsidRPr="000C7E68">
        <w:rPr>
          <w:rFonts w:ascii="Arial" w:eastAsia="Times New Roman" w:hAnsi="Arial" w:cs="Arial"/>
          <w:color w:val="000000"/>
          <w:sz w:val="20"/>
          <w:szCs w:val="20"/>
        </w:rPr>
        <w:lastRenderedPageBreak/>
        <w:t>Tabela 1 -</w:t>
      </w:r>
      <w:r w:rsidRPr="000C7E68">
        <w:rPr>
          <w:rFonts w:ascii="Arial" w:eastAsia="Times New Roman" w:hAnsi="Arial" w:cs="Arial"/>
          <w:b/>
          <w:bCs/>
          <w:color w:val="000000"/>
          <w:sz w:val="20"/>
          <w:szCs w:val="20"/>
        </w:rPr>
        <w:t xml:space="preserve"> </w:t>
      </w:r>
      <w:r w:rsidRPr="000C7E68">
        <w:rPr>
          <w:rFonts w:ascii="Arial" w:eastAsia="Times New Roman" w:hAnsi="Arial" w:cs="Arial"/>
          <w:color w:val="000000"/>
          <w:sz w:val="20"/>
          <w:szCs w:val="20"/>
        </w:rPr>
        <w:t>Categorização das reportagens sobre o setor sucroalcooleiro no jornal Monitor Campista durante os anos 1980, 1983 e 1985. </w:t>
      </w:r>
    </w:p>
    <w:p w14:paraId="38FCC098" w14:textId="77777777" w:rsidR="000C7E68" w:rsidRPr="000C7E68" w:rsidRDefault="000C7E68" w:rsidP="000C7E68">
      <w:pPr>
        <w:spacing w:after="0" w:line="240" w:lineRule="auto"/>
        <w:rPr>
          <w:rFonts w:ascii="Arial" w:eastAsia="Times New Roman" w:hAnsi="Arial" w:cs="Arial"/>
          <w:sz w:val="20"/>
          <w:szCs w:val="20"/>
        </w:rPr>
      </w:pPr>
    </w:p>
    <w:tbl>
      <w:tblPr>
        <w:tblW w:w="8767" w:type="dxa"/>
        <w:tblCellMar>
          <w:top w:w="15" w:type="dxa"/>
          <w:left w:w="15" w:type="dxa"/>
          <w:bottom w:w="15" w:type="dxa"/>
          <w:right w:w="15" w:type="dxa"/>
        </w:tblCellMar>
        <w:tblLook w:val="04A0" w:firstRow="1" w:lastRow="0" w:firstColumn="1" w:lastColumn="0" w:noHBand="0" w:noVBand="1"/>
      </w:tblPr>
      <w:tblGrid>
        <w:gridCol w:w="6676"/>
        <w:gridCol w:w="697"/>
        <w:gridCol w:w="697"/>
        <w:gridCol w:w="697"/>
      </w:tblGrid>
      <w:tr w:rsidR="000C7E68" w:rsidRPr="000C7E68" w14:paraId="5C0FA962" w14:textId="77777777" w:rsidTr="000C7E68">
        <w:trPr>
          <w:trHeight w:val="416"/>
        </w:trPr>
        <w:tc>
          <w:tcPr>
            <w:tcW w:w="0" w:type="auto"/>
            <w:tcBorders>
              <w:top w:val="single" w:sz="4" w:space="0" w:color="000000"/>
              <w:bottom w:val="single" w:sz="4" w:space="0" w:color="000000"/>
            </w:tcBorders>
            <w:tcMar>
              <w:top w:w="40" w:type="dxa"/>
              <w:left w:w="40" w:type="dxa"/>
              <w:bottom w:w="40" w:type="dxa"/>
              <w:right w:w="40" w:type="dxa"/>
            </w:tcMar>
            <w:vAlign w:val="bottom"/>
            <w:hideMark/>
          </w:tcPr>
          <w:p w14:paraId="53756361" w14:textId="77777777" w:rsidR="000C7E68" w:rsidRPr="000C7E68" w:rsidRDefault="000C7E68" w:rsidP="000C7E68">
            <w:pPr>
              <w:spacing w:after="0" w:line="240" w:lineRule="auto"/>
              <w:ind w:right="-480"/>
              <w:rPr>
                <w:rFonts w:ascii="Times New Roman" w:eastAsia="Times New Roman" w:hAnsi="Times New Roman" w:cs="Times New Roman"/>
                <w:sz w:val="24"/>
                <w:szCs w:val="24"/>
              </w:rPr>
            </w:pPr>
            <w:r w:rsidRPr="000C7E68">
              <w:rPr>
                <w:rFonts w:ascii="Times New Roman" w:eastAsia="Times New Roman" w:hAnsi="Times New Roman" w:cs="Times New Roman"/>
                <w:color w:val="000000"/>
                <w:sz w:val="24"/>
                <w:szCs w:val="24"/>
              </w:rPr>
              <w:t>Categorias</w:t>
            </w:r>
          </w:p>
        </w:tc>
        <w:tc>
          <w:tcPr>
            <w:tcW w:w="0" w:type="auto"/>
            <w:tcBorders>
              <w:top w:val="single" w:sz="4" w:space="0" w:color="000000"/>
              <w:bottom w:val="single" w:sz="4" w:space="0" w:color="000000"/>
            </w:tcBorders>
            <w:tcMar>
              <w:top w:w="40" w:type="dxa"/>
              <w:left w:w="40" w:type="dxa"/>
              <w:bottom w:w="40" w:type="dxa"/>
              <w:right w:w="40" w:type="dxa"/>
            </w:tcMar>
            <w:vAlign w:val="bottom"/>
            <w:hideMark/>
          </w:tcPr>
          <w:p w14:paraId="59726A1C" w14:textId="77777777" w:rsidR="000C7E68" w:rsidRPr="000C7E68" w:rsidRDefault="000C7E68" w:rsidP="000C7E68">
            <w:pPr>
              <w:spacing w:after="0" w:line="240" w:lineRule="auto"/>
              <w:jc w:val="center"/>
              <w:rPr>
                <w:rFonts w:ascii="Times New Roman" w:eastAsia="Times New Roman" w:hAnsi="Times New Roman" w:cs="Times New Roman"/>
                <w:sz w:val="24"/>
                <w:szCs w:val="24"/>
              </w:rPr>
            </w:pPr>
            <w:r w:rsidRPr="000C7E68">
              <w:rPr>
                <w:rFonts w:ascii="Times New Roman" w:eastAsia="Times New Roman" w:hAnsi="Times New Roman" w:cs="Times New Roman"/>
                <w:color w:val="000000"/>
                <w:sz w:val="24"/>
                <w:szCs w:val="24"/>
              </w:rPr>
              <w:t>1980</w:t>
            </w:r>
          </w:p>
        </w:tc>
        <w:tc>
          <w:tcPr>
            <w:tcW w:w="0" w:type="auto"/>
            <w:tcBorders>
              <w:top w:val="single" w:sz="4" w:space="0" w:color="000000"/>
              <w:bottom w:val="single" w:sz="4" w:space="0" w:color="000000"/>
            </w:tcBorders>
            <w:tcMar>
              <w:top w:w="40" w:type="dxa"/>
              <w:left w:w="40" w:type="dxa"/>
              <w:bottom w:w="40" w:type="dxa"/>
              <w:right w:w="40" w:type="dxa"/>
            </w:tcMar>
            <w:vAlign w:val="bottom"/>
            <w:hideMark/>
          </w:tcPr>
          <w:p w14:paraId="155DA744" w14:textId="77777777" w:rsidR="000C7E68" w:rsidRPr="000C7E68" w:rsidRDefault="000C7E68" w:rsidP="000C7E68">
            <w:pPr>
              <w:spacing w:after="0" w:line="240" w:lineRule="auto"/>
              <w:jc w:val="center"/>
              <w:rPr>
                <w:rFonts w:ascii="Times New Roman" w:eastAsia="Times New Roman" w:hAnsi="Times New Roman" w:cs="Times New Roman"/>
                <w:sz w:val="24"/>
                <w:szCs w:val="24"/>
              </w:rPr>
            </w:pPr>
            <w:r w:rsidRPr="000C7E68">
              <w:rPr>
                <w:rFonts w:ascii="Times New Roman" w:eastAsia="Times New Roman" w:hAnsi="Times New Roman" w:cs="Times New Roman"/>
                <w:color w:val="000000"/>
                <w:sz w:val="24"/>
                <w:szCs w:val="24"/>
              </w:rPr>
              <w:t>1983</w:t>
            </w:r>
          </w:p>
        </w:tc>
        <w:tc>
          <w:tcPr>
            <w:tcW w:w="0" w:type="auto"/>
            <w:tcBorders>
              <w:top w:val="single" w:sz="4" w:space="0" w:color="000000"/>
              <w:bottom w:val="single" w:sz="4" w:space="0" w:color="000000"/>
            </w:tcBorders>
            <w:tcMar>
              <w:top w:w="40" w:type="dxa"/>
              <w:left w:w="40" w:type="dxa"/>
              <w:bottom w:w="40" w:type="dxa"/>
              <w:right w:w="40" w:type="dxa"/>
            </w:tcMar>
            <w:vAlign w:val="bottom"/>
            <w:hideMark/>
          </w:tcPr>
          <w:p w14:paraId="44E68F2E" w14:textId="77777777" w:rsidR="000C7E68" w:rsidRPr="000C7E68" w:rsidRDefault="000C7E68" w:rsidP="000C7E68">
            <w:pPr>
              <w:spacing w:after="0" w:line="240" w:lineRule="auto"/>
              <w:jc w:val="center"/>
              <w:rPr>
                <w:rFonts w:ascii="Times New Roman" w:eastAsia="Times New Roman" w:hAnsi="Times New Roman" w:cs="Times New Roman"/>
                <w:sz w:val="24"/>
                <w:szCs w:val="24"/>
              </w:rPr>
            </w:pPr>
            <w:r w:rsidRPr="000C7E68">
              <w:rPr>
                <w:rFonts w:ascii="Times New Roman" w:eastAsia="Times New Roman" w:hAnsi="Times New Roman" w:cs="Times New Roman"/>
                <w:color w:val="000000"/>
                <w:sz w:val="24"/>
                <w:szCs w:val="24"/>
              </w:rPr>
              <w:t>1985</w:t>
            </w:r>
          </w:p>
        </w:tc>
      </w:tr>
      <w:tr w:rsidR="000C7E68" w:rsidRPr="000C7E68" w14:paraId="459543AF" w14:textId="77777777" w:rsidTr="000C7E68">
        <w:trPr>
          <w:trHeight w:val="616"/>
        </w:trPr>
        <w:tc>
          <w:tcPr>
            <w:tcW w:w="0" w:type="auto"/>
            <w:tcBorders>
              <w:top w:val="single" w:sz="4" w:space="0" w:color="000000"/>
            </w:tcBorders>
            <w:tcMar>
              <w:top w:w="40" w:type="dxa"/>
              <w:left w:w="40" w:type="dxa"/>
              <w:bottom w:w="40" w:type="dxa"/>
              <w:right w:w="40" w:type="dxa"/>
            </w:tcMar>
            <w:vAlign w:val="bottom"/>
            <w:hideMark/>
          </w:tcPr>
          <w:p w14:paraId="5FE1EDFD" w14:textId="77777777" w:rsidR="000C7E68" w:rsidRPr="000C7E68" w:rsidRDefault="000C7E68" w:rsidP="000C7E68">
            <w:pPr>
              <w:spacing w:after="0" w:line="240" w:lineRule="auto"/>
              <w:rPr>
                <w:rFonts w:ascii="Times New Roman" w:eastAsia="Times New Roman" w:hAnsi="Times New Roman" w:cs="Times New Roman"/>
                <w:sz w:val="24"/>
                <w:szCs w:val="24"/>
              </w:rPr>
            </w:pPr>
            <w:r w:rsidRPr="000C7E68">
              <w:rPr>
                <w:rFonts w:ascii="Times New Roman" w:eastAsia="Times New Roman" w:hAnsi="Times New Roman" w:cs="Times New Roman"/>
                <w:color w:val="000000"/>
                <w:sz w:val="24"/>
                <w:szCs w:val="24"/>
              </w:rPr>
              <w:t>Relatos de dificuldades e crise do setor sucroalcooleiro</w:t>
            </w:r>
          </w:p>
        </w:tc>
        <w:tc>
          <w:tcPr>
            <w:tcW w:w="0" w:type="auto"/>
            <w:tcBorders>
              <w:top w:val="single" w:sz="4" w:space="0" w:color="000000"/>
            </w:tcBorders>
            <w:tcMar>
              <w:top w:w="40" w:type="dxa"/>
              <w:left w:w="40" w:type="dxa"/>
              <w:bottom w:w="40" w:type="dxa"/>
              <w:right w:w="40" w:type="dxa"/>
            </w:tcMar>
            <w:vAlign w:val="bottom"/>
            <w:hideMark/>
          </w:tcPr>
          <w:p w14:paraId="7973F77F" w14:textId="77777777" w:rsidR="000C7E68" w:rsidRPr="000C7E68" w:rsidRDefault="000C7E68" w:rsidP="000C7E68">
            <w:pPr>
              <w:spacing w:after="0" w:line="240" w:lineRule="auto"/>
              <w:jc w:val="center"/>
              <w:rPr>
                <w:rFonts w:ascii="Times New Roman" w:eastAsia="Times New Roman" w:hAnsi="Times New Roman" w:cs="Times New Roman"/>
                <w:sz w:val="24"/>
                <w:szCs w:val="24"/>
              </w:rPr>
            </w:pPr>
            <w:r w:rsidRPr="000C7E68">
              <w:rPr>
                <w:rFonts w:ascii="Times New Roman" w:eastAsia="Times New Roman" w:hAnsi="Times New Roman" w:cs="Times New Roman"/>
                <w:color w:val="000000"/>
                <w:sz w:val="24"/>
                <w:szCs w:val="24"/>
              </w:rPr>
              <w:t>12</w:t>
            </w:r>
          </w:p>
        </w:tc>
        <w:tc>
          <w:tcPr>
            <w:tcW w:w="0" w:type="auto"/>
            <w:tcBorders>
              <w:top w:val="single" w:sz="4" w:space="0" w:color="000000"/>
            </w:tcBorders>
            <w:tcMar>
              <w:top w:w="40" w:type="dxa"/>
              <w:left w:w="40" w:type="dxa"/>
              <w:bottom w:w="40" w:type="dxa"/>
              <w:right w:w="40" w:type="dxa"/>
            </w:tcMar>
            <w:vAlign w:val="bottom"/>
            <w:hideMark/>
          </w:tcPr>
          <w:p w14:paraId="70EAB540" w14:textId="77777777" w:rsidR="000C7E68" w:rsidRPr="000C7E68" w:rsidRDefault="000C7E68" w:rsidP="000C7E68">
            <w:pPr>
              <w:spacing w:after="0" w:line="240" w:lineRule="auto"/>
              <w:jc w:val="center"/>
              <w:rPr>
                <w:rFonts w:ascii="Times New Roman" w:eastAsia="Times New Roman" w:hAnsi="Times New Roman" w:cs="Times New Roman"/>
                <w:sz w:val="24"/>
                <w:szCs w:val="24"/>
              </w:rPr>
            </w:pPr>
            <w:r w:rsidRPr="000C7E68">
              <w:rPr>
                <w:rFonts w:ascii="Times New Roman" w:eastAsia="Times New Roman" w:hAnsi="Times New Roman" w:cs="Times New Roman"/>
                <w:color w:val="000000"/>
                <w:sz w:val="24"/>
                <w:szCs w:val="24"/>
              </w:rPr>
              <w:t>24</w:t>
            </w:r>
          </w:p>
        </w:tc>
        <w:tc>
          <w:tcPr>
            <w:tcW w:w="0" w:type="auto"/>
            <w:tcBorders>
              <w:top w:val="single" w:sz="4" w:space="0" w:color="000000"/>
            </w:tcBorders>
            <w:tcMar>
              <w:top w:w="40" w:type="dxa"/>
              <w:left w:w="40" w:type="dxa"/>
              <w:bottom w:w="40" w:type="dxa"/>
              <w:right w:w="40" w:type="dxa"/>
            </w:tcMar>
            <w:vAlign w:val="bottom"/>
            <w:hideMark/>
          </w:tcPr>
          <w:p w14:paraId="77384AAA" w14:textId="77777777" w:rsidR="000C7E68" w:rsidRPr="000C7E68" w:rsidRDefault="000C7E68" w:rsidP="000C7E68">
            <w:pPr>
              <w:spacing w:after="0" w:line="240" w:lineRule="auto"/>
              <w:jc w:val="center"/>
              <w:rPr>
                <w:rFonts w:ascii="Times New Roman" w:eastAsia="Times New Roman" w:hAnsi="Times New Roman" w:cs="Times New Roman"/>
                <w:sz w:val="24"/>
                <w:szCs w:val="24"/>
              </w:rPr>
            </w:pPr>
            <w:r w:rsidRPr="000C7E68">
              <w:rPr>
                <w:rFonts w:ascii="Times New Roman" w:eastAsia="Times New Roman" w:hAnsi="Times New Roman" w:cs="Times New Roman"/>
                <w:color w:val="000000"/>
                <w:sz w:val="24"/>
                <w:szCs w:val="24"/>
              </w:rPr>
              <w:t>35</w:t>
            </w:r>
          </w:p>
        </w:tc>
      </w:tr>
      <w:tr w:rsidR="000C7E68" w:rsidRPr="000C7E68" w14:paraId="5492E96E" w14:textId="77777777" w:rsidTr="000C7E68">
        <w:trPr>
          <w:trHeight w:val="652"/>
        </w:trPr>
        <w:tc>
          <w:tcPr>
            <w:tcW w:w="0" w:type="auto"/>
            <w:tcMar>
              <w:top w:w="40" w:type="dxa"/>
              <w:left w:w="40" w:type="dxa"/>
              <w:bottom w:w="40" w:type="dxa"/>
              <w:right w:w="40" w:type="dxa"/>
            </w:tcMar>
            <w:vAlign w:val="bottom"/>
            <w:hideMark/>
          </w:tcPr>
          <w:p w14:paraId="0A526805" w14:textId="77777777" w:rsidR="000C7E68" w:rsidRPr="000C7E68" w:rsidRDefault="000C7E68" w:rsidP="000C7E68">
            <w:pPr>
              <w:spacing w:after="0" w:line="240" w:lineRule="auto"/>
              <w:rPr>
                <w:rFonts w:ascii="Times New Roman" w:eastAsia="Times New Roman" w:hAnsi="Times New Roman" w:cs="Times New Roman"/>
                <w:sz w:val="24"/>
                <w:szCs w:val="24"/>
              </w:rPr>
            </w:pPr>
            <w:r w:rsidRPr="000C7E68">
              <w:rPr>
                <w:rFonts w:ascii="Times New Roman" w:eastAsia="Times New Roman" w:hAnsi="Times New Roman" w:cs="Times New Roman"/>
                <w:color w:val="000000"/>
                <w:sz w:val="24"/>
                <w:szCs w:val="24"/>
              </w:rPr>
              <w:t>Relatos de ações que levariam ao sucesso da produção</w:t>
            </w:r>
          </w:p>
        </w:tc>
        <w:tc>
          <w:tcPr>
            <w:tcW w:w="0" w:type="auto"/>
            <w:tcMar>
              <w:top w:w="40" w:type="dxa"/>
              <w:left w:w="40" w:type="dxa"/>
              <w:bottom w:w="40" w:type="dxa"/>
              <w:right w:w="40" w:type="dxa"/>
            </w:tcMar>
            <w:vAlign w:val="bottom"/>
            <w:hideMark/>
          </w:tcPr>
          <w:p w14:paraId="166D3A52" w14:textId="77777777" w:rsidR="000C7E68" w:rsidRPr="000C7E68" w:rsidRDefault="000C7E68" w:rsidP="000C7E68">
            <w:pPr>
              <w:spacing w:after="0" w:line="240" w:lineRule="auto"/>
              <w:jc w:val="center"/>
              <w:rPr>
                <w:rFonts w:ascii="Times New Roman" w:eastAsia="Times New Roman" w:hAnsi="Times New Roman" w:cs="Times New Roman"/>
                <w:sz w:val="24"/>
                <w:szCs w:val="24"/>
              </w:rPr>
            </w:pPr>
            <w:r w:rsidRPr="000C7E68">
              <w:rPr>
                <w:rFonts w:ascii="Times New Roman" w:eastAsia="Times New Roman" w:hAnsi="Times New Roman" w:cs="Times New Roman"/>
                <w:color w:val="000000"/>
                <w:sz w:val="24"/>
                <w:szCs w:val="24"/>
              </w:rPr>
              <w:t>14</w:t>
            </w:r>
          </w:p>
        </w:tc>
        <w:tc>
          <w:tcPr>
            <w:tcW w:w="0" w:type="auto"/>
            <w:tcMar>
              <w:top w:w="40" w:type="dxa"/>
              <w:left w:w="40" w:type="dxa"/>
              <w:bottom w:w="40" w:type="dxa"/>
              <w:right w:w="40" w:type="dxa"/>
            </w:tcMar>
            <w:vAlign w:val="bottom"/>
            <w:hideMark/>
          </w:tcPr>
          <w:p w14:paraId="77631F99" w14:textId="77777777" w:rsidR="000C7E68" w:rsidRPr="000C7E68" w:rsidRDefault="000C7E68" w:rsidP="000C7E68">
            <w:pPr>
              <w:spacing w:after="0" w:line="240" w:lineRule="auto"/>
              <w:jc w:val="center"/>
              <w:rPr>
                <w:rFonts w:ascii="Times New Roman" w:eastAsia="Times New Roman" w:hAnsi="Times New Roman" w:cs="Times New Roman"/>
                <w:sz w:val="24"/>
                <w:szCs w:val="24"/>
              </w:rPr>
            </w:pPr>
            <w:r w:rsidRPr="000C7E68">
              <w:rPr>
                <w:rFonts w:ascii="Times New Roman" w:eastAsia="Times New Roman" w:hAnsi="Times New Roman" w:cs="Times New Roman"/>
                <w:color w:val="000000"/>
                <w:sz w:val="24"/>
                <w:szCs w:val="24"/>
              </w:rPr>
              <w:t>8</w:t>
            </w:r>
          </w:p>
        </w:tc>
        <w:tc>
          <w:tcPr>
            <w:tcW w:w="0" w:type="auto"/>
            <w:tcMar>
              <w:top w:w="40" w:type="dxa"/>
              <w:left w:w="40" w:type="dxa"/>
              <w:bottom w:w="40" w:type="dxa"/>
              <w:right w:w="40" w:type="dxa"/>
            </w:tcMar>
            <w:vAlign w:val="bottom"/>
            <w:hideMark/>
          </w:tcPr>
          <w:p w14:paraId="30C0192F" w14:textId="77777777" w:rsidR="000C7E68" w:rsidRPr="000C7E68" w:rsidRDefault="000C7E68" w:rsidP="000C7E68">
            <w:pPr>
              <w:spacing w:after="0" w:line="240" w:lineRule="auto"/>
              <w:jc w:val="center"/>
              <w:rPr>
                <w:rFonts w:ascii="Times New Roman" w:eastAsia="Times New Roman" w:hAnsi="Times New Roman" w:cs="Times New Roman"/>
                <w:sz w:val="24"/>
                <w:szCs w:val="24"/>
              </w:rPr>
            </w:pPr>
            <w:r w:rsidRPr="000C7E68">
              <w:rPr>
                <w:rFonts w:ascii="Times New Roman" w:eastAsia="Times New Roman" w:hAnsi="Times New Roman" w:cs="Times New Roman"/>
                <w:color w:val="000000"/>
                <w:sz w:val="24"/>
                <w:szCs w:val="24"/>
              </w:rPr>
              <w:t>9</w:t>
            </w:r>
          </w:p>
        </w:tc>
      </w:tr>
      <w:tr w:rsidR="000C7E68" w:rsidRPr="000C7E68" w14:paraId="281FC23A" w14:textId="77777777" w:rsidTr="000C7E68">
        <w:trPr>
          <w:trHeight w:val="180"/>
        </w:trPr>
        <w:tc>
          <w:tcPr>
            <w:tcW w:w="0" w:type="auto"/>
            <w:tcMar>
              <w:top w:w="40" w:type="dxa"/>
              <w:left w:w="40" w:type="dxa"/>
              <w:bottom w:w="40" w:type="dxa"/>
              <w:right w:w="40" w:type="dxa"/>
            </w:tcMar>
            <w:vAlign w:val="bottom"/>
            <w:hideMark/>
          </w:tcPr>
          <w:p w14:paraId="2311F422" w14:textId="77777777" w:rsidR="000C7E68" w:rsidRPr="000C7E68" w:rsidRDefault="000C7E68" w:rsidP="000C7E68">
            <w:pPr>
              <w:spacing w:after="0" w:line="240" w:lineRule="auto"/>
              <w:rPr>
                <w:rFonts w:ascii="Times New Roman" w:eastAsia="Times New Roman" w:hAnsi="Times New Roman" w:cs="Times New Roman"/>
                <w:sz w:val="24"/>
                <w:szCs w:val="24"/>
              </w:rPr>
            </w:pPr>
            <w:r w:rsidRPr="000C7E68">
              <w:rPr>
                <w:rFonts w:ascii="Times New Roman" w:eastAsia="Times New Roman" w:hAnsi="Times New Roman" w:cs="Times New Roman"/>
                <w:color w:val="000000"/>
                <w:sz w:val="24"/>
                <w:szCs w:val="24"/>
              </w:rPr>
              <w:t>Relatos de sucesso da produção</w:t>
            </w:r>
          </w:p>
        </w:tc>
        <w:tc>
          <w:tcPr>
            <w:tcW w:w="0" w:type="auto"/>
            <w:tcMar>
              <w:top w:w="40" w:type="dxa"/>
              <w:left w:w="40" w:type="dxa"/>
              <w:bottom w:w="40" w:type="dxa"/>
              <w:right w:w="40" w:type="dxa"/>
            </w:tcMar>
            <w:vAlign w:val="bottom"/>
            <w:hideMark/>
          </w:tcPr>
          <w:p w14:paraId="02CF87A9" w14:textId="77777777" w:rsidR="000C7E68" w:rsidRPr="000C7E68" w:rsidRDefault="000C7E68" w:rsidP="000C7E68">
            <w:pPr>
              <w:spacing w:after="0" w:line="240" w:lineRule="auto"/>
              <w:jc w:val="center"/>
              <w:rPr>
                <w:rFonts w:ascii="Times New Roman" w:eastAsia="Times New Roman" w:hAnsi="Times New Roman" w:cs="Times New Roman"/>
                <w:sz w:val="24"/>
                <w:szCs w:val="24"/>
              </w:rPr>
            </w:pPr>
            <w:r w:rsidRPr="000C7E68">
              <w:rPr>
                <w:rFonts w:ascii="Times New Roman" w:eastAsia="Times New Roman" w:hAnsi="Times New Roman" w:cs="Times New Roman"/>
                <w:color w:val="000000"/>
                <w:sz w:val="24"/>
                <w:szCs w:val="24"/>
              </w:rPr>
              <w:t>3</w:t>
            </w:r>
          </w:p>
        </w:tc>
        <w:tc>
          <w:tcPr>
            <w:tcW w:w="0" w:type="auto"/>
            <w:tcMar>
              <w:top w:w="40" w:type="dxa"/>
              <w:left w:w="40" w:type="dxa"/>
              <w:bottom w:w="40" w:type="dxa"/>
              <w:right w:w="40" w:type="dxa"/>
            </w:tcMar>
            <w:vAlign w:val="bottom"/>
            <w:hideMark/>
          </w:tcPr>
          <w:p w14:paraId="6E94008F" w14:textId="77777777" w:rsidR="000C7E68" w:rsidRPr="000C7E68" w:rsidRDefault="000C7E68" w:rsidP="000C7E68">
            <w:pPr>
              <w:spacing w:after="0" w:line="240" w:lineRule="auto"/>
              <w:jc w:val="center"/>
              <w:rPr>
                <w:rFonts w:ascii="Times New Roman" w:eastAsia="Times New Roman" w:hAnsi="Times New Roman" w:cs="Times New Roman"/>
                <w:sz w:val="24"/>
                <w:szCs w:val="24"/>
              </w:rPr>
            </w:pPr>
            <w:r w:rsidRPr="000C7E68">
              <w:rPr>
                <w:rFonts w:ascii="Times New Roman" w:eastAsia="Times New Roman" w:hAnsi="Times New Roman" w:cs="Times New Roman"/>
                <w:color w:val="000000"/>
                <w:sz w:val="24"/>
                <w:szCs w:val="24"/>
              </w:rPr>
              <w:t>9</w:t>
            </w:r>
          </w:p>
        </w:tc>
        <w:tc>
          <w:tcPr>
            <w:tcW w:w="0" w:type="auto"/>
            <w:tcMar>
              <w:top w:w="40" w:type="dxa"/>
              <w:left w:w="40" w:type="dxa"/>
              <w:bottom w:w="40" w:type="dxa"/>
              <w:right w:w="40" w:type="dxa"/>
            </w:tcMar>
            <w:vAlign w:val="bottom"/>
            <w:hideMark/>
          </w:tcPr>
          <w:p w14:paraId="3EE66790" w14:textId="77777777" w:rsidR="000C7E68" w:rsidRPr="000C7E68" w:rsidRDefault="000C7E68" w:rsidP="000C7E68">
            <w:pPr>
              <w:spacing w:after="0" w:line="240" w:lineRule="auto"/>
              <w:jc w:val="center"/>
              <w:rPr>
                <w:rFonts w:ascii="Times New Roman" w:eastAsia="Times New Roman" w:hAnsi="Times New Roman" w:cs="Times New Roman"/>
                <w:sz w:val="24"/>
                <w:szCs w:val="24"/>
              </w:rPr>
            </w:pPr>
            <w:r w:rsidRPr="000C7E68">
              <w:rPr>
                <w:rFonts w:ascii="Times New Roman" w:eastAsia="Times New Roman" w:hAnsi="Times New Roman" w:cs="Times New Roman"/>
                <w:color w:val="000000"/>
                <w:sz w:val="24"/>
                <w:szCs w:val="24"/>
              </w:rPr>
              <w:t>2</w:t>
            </w:r>
          </w:p>
        </w:tc>
      </w:tr>
      <w:tr w:rsidR="000C7E68" w:rsidRPr="000C7E68" w14:paraId="5B96A8BD" w14:textId="77777777" w:rsidTr="000C7E68">
        <w:trPr>
          <w:trHeight w:val="325"/>
        </w:trPr>
        <w:tc>
          <w:tcPr>
            <w:tcW w:w="0" w:type="auto"/>
            <w:tcBorders>
              <w:bottom w:val="single" w:sz="4" w:space="0" w:color="000000"/>
            </w:tcBorders>
            <w:tcMar>
              <w:top w:w="40" w:type="dxa"/>
              <w:left w:w="40" w:type="dxa"/>
              <w:bottom w:w="40" w:type="dxa"/>
              <w:right w:w="40" w:type="dxa"/>
            </w:tcMar>
            <w:vAlign w:val="bottom"/>
            <w:hideMark/>
          </w:tcPr>
          <w:p w14:paraId="656AE669" w14:textId="77777777" w:rsidR="000C7E68" w:rsidRPr="000C7E68" w:rsidRDefault="000C7E68" w:rsidP="000C7E68">
            <w:pPr>
              <w:spacing w:after="0" w:line="240" w:lineRule="auto"/>
              <w:rPr>
                <w:rFonts w:ascii="Times New Roman" w:eastAsia="Times New Roman" w:hAnsi="Times New Roman" w:cs="Times New Roman"/>
                <w:sz w:val="24"/>
                <w:szCs w:val="24"/>
              </w:rPr>
            </w:pPr>
            <w:r w:rsidRPr="000C7E68">
              <w:rPr>
                <w:rFonts w:ascii="Times New Roman" w:eastAsia="Times New Roman" w:hAnsi="Times New Roman" w:cs="Times New Roman"/>
                <w:color w:val="000000"/>
                <w:sz w:val="24"/>
                <w:szCs w:val="24"/>
              </w:rPr>
              <w:t>Outros</w:t>
            </w:r>
          </w:p>
        </w:tc>
        <w:tc>
          <w:tcPr>
            <w:tcW w:w="0" w:type="auto"/>
            <w:tcBorders>
              <w:bottom w:val="single" w:sz="4" w:space="0" w:color="000000"/>
            </w:tcBorders>
            <w:tcMar>
              <w:top w:w="40" w:type="dxa"/>
              <w:left w:w="40" w:type="dxa"/>
              <w:bottom w:w="40" w:type="dxa"/>
              <w:right w:w="40" w:type="dxa"/>
            </w:tcMar>
            <w:vAlign w:val="bottom"/>
            <w:hideMark/>
          </w:tcPr>
          <w:p w14:paraId="511644F4" w14:textId="77777777" w:rsidR="000C7E68" w:rsidRPr="000C7E68" w:rsidRDefault="000C7E68" w:rsidP="000C7E68">
            <w:pPr>
              <w:spacing w:after="0" w:line="240" w:lineRule="auto"/>
              <w:jc w:val="center"/>
              <w:rPr>
                <w:rFonts w:ascii="Times New Roman" w:eastAsia="Times New Roman" w:hAnsi="Times New Roman" w:cs="Times New Roman"/>
                <w:sz w:val="24"/>
                <w:szCs w:val="24"/>
              </w:rPr>
            </w:pPr>
            <w:r w:rsidRPr="000C7E68">
              <w:rPr>
                <w:rFonts w:ascii="Times New Roman" w:eastAsia="Times New Roman" w:hAnsi="Times New Roman" w:cs="Times New Roman"/>
                <w:color w:val="000000"/>
                <w:sz w:val="24"/>
                <w:szCs w:val="24"/>
              </w:rPr>
              <w:t>2</w:t>
            </w:r>
          </w:p>
        </w:tc>
        <w:tc>
          <w:tcPr>
            <w:tcW w:w="0" w:type="auto"/>
            <w:tcBorders>
              <w:bottom w:val="single" w:sz="4" w:space="0" w:color="000000"/>
            </w:tcBorders>
            <w:tcMar>
              <w:top w:w="40" w:type="dxa"/>
              <w:left w:w="40" w:type="dxa"/>
              <w:bottom w:w="40" w:type="dxa"/>
              <w:right w:w="40" w:type="dxa"/>
            </w:tcMar>
            <w:vAlign w:val="bottom"/>
            <w:hideMark/>
          </w:tcPr>
          <w:p w14:paraId="5E601350" w14:textId="77777777" w:rsidR="000C7E68" w:rsidRPr="000C7E68" w:rsidRDefault="000C7E68" w:rsidP="000C7E68">
            <w:pPr>
              <w:spacing w:after="0" w:line="240" w:lineRule="auto"/>
              <w:jc w:val="center"/>
              <w:rPr>
                <w:rFonts w:ascii="Times New Roman" w:eastAsia="Times New Roman" w:hAnsi="Times New Roman" w:cs="Times New Roman"/>
                <w:sz w:val="24"/>
                <w:szCs w:val="24"/>
              </w:rPr>
            </w:pPr>
            <w:r w:rsidRPr="000C7E68">
              <w:rPr>
                <w:rFonts w:ascii="Times New Roman" w:eastAsia="Times New Roman" w:hAnsi="Times New Roman" w:cs="Times New Roman"/>
                <w:color w:val="000000"/>
                <w:sz w:val="24"/>
                <w:szCs w:val="24"/>
              </w:rPr>
              <w:t>6</w:t>
            </w:r>
          </w:p>
        </w:tc>
        <w:tc>
          <w:tcPr>
            <w:tcW w:w="0" w:type="auto"/>
            <w:tcBorders>
              <w:bottom w:val="single" w:sz="4" w:space="0" w:color="000000"/>
            </w:tcBorders>
            <w:tcMar>
              <w:top w:w="40" w:type="dxa"/>
              <w:left w:w="40" w:type="dxa"/>
              <w:bottom w:w="40" w:type="dxa"/>
              <w:right w:w="40" w:type="dxa"/>
            </w:tcMar>
            <w:vAlign w:val="bottom"/>
            <w:hideMark/>
          </w:tcPr>
          <w:p w14:paraId="26D1D9A0" w14:textId="77777777" w:rsidR="000C7E68" w:rsidRPr="000C7E68" w:rsidRDefault="000C7E68" w:rsidP="000C7E68">
            <w:pPr>
              <w:spacing w:after="0" w:line="240" w:lineRule="auto"/>
              <w:jc w:val="center"/>
              <w:rPr>
                <w:rFonts w:ascii="Times New Roman" w:eastAsia="Times New Roman" w:hAnsi="Times New Roman" w:cs="Times New Roman"/>
                <w:sz w:val="24"/>
                <w:szCs w:val="24"/>
              </w:rPr>
            </w:pPr>
            <w:r w:rsidRPr="000C7E68">
              <w:rPr>
                <w:rFonts w:ascii="Times New Roman" w:eastAsia="Times New Roman" w:hAnsi="Times New Roman" w:cs="Times New Roman"/>
                <w:color w:val="000000"/>
                <w:sz w:val="24"/>
                <w:szCs w:val="24"/>
              </w:rPr>
              <w:t>0</w:t>
            </w:r>
          </w:p>
        </w:tc>
      </w:tr>
    </w:tbl>
    <w:p w14:paraId="3DD43DCA" w14:textId="4C337DDB" w:rsidR="000C7E68" w:rsidRPr="000C7E68" w:rsidRDefault="000C7E68" w:rsidP="000C7E68">
      <w:pPr>
        <w:spacing w:after="240" w:line="240" w:lineRule="auto"/>
        <w:rPr>
          <w:rFonts w:ascii="Times New Roman" w:eastAsia="Times New Roman" w:hAnsi="Times New Roman" w:cs="Times New Roman"/>
          <w:sz w:val="24"/>
          <w:szCs w:val="24"/>
        </w:rPr>
      </w:pPr>
    </w:p>
    <w:p w14:paraId="7B0399EF" w14:textId="54354D26" w:rsidR="00FA1FFA" w:rsidRPr="00FA1FFA" w:rsidRDefault="000C7E68" w:rsidP="00FA1FFA">
      <w:pPr>
        <w:spacing w:after="0" w:line="360" w:lineRule="auto"/>
        <w:ind w:right="-578"/>
        <w:jc w:val="center"/>
        <w:rPr>
          <w:rFonts w:ascii="Arial" w:eastAsia="Times New Roman" w:hAnsi="Arial" w:cs="Arial"/>
          <w:sz w:val="20"/>
          <w:szCs w:val="20"/>
        </w:rPr>
      </w:pPr>
      <w:r w:rsidRPr="000C7E68">
        <w:rPr>
          <w:rFonts w:ascii="Arial" w:eastAsia="Times New Roman" w:hAnsi="Arial" w:cs="Arial"/>
          <w:color w:val="000000"/>
          <w:sz w:val="20"/>
          <w:szCs w:val="20"/>
        </w:rPr>
        <w:t>Fonte: autoria própria (2024).</w:t>
      </w:r>
    </w:p>
    <w:p w14:paraId="6EA1F706" w14:textId="43467710" w:rsidR="006E4BA2" w:rsidRPr="00EF1D31" w:rsidRDefault="000C7E68" w:rsidP="002D741F">
      <w:pPr>
        <w:spacing w:after="120" w:line="360" w:lineRule="auto"/>
        <w:jc w:val="both"/>
        <w:rPr>
          <w:rFonts w:ascii="Arial" w:eastAsia="Arial" w:hAnsi="Arial" w:cs="Arial"/>
          <w:sz w:val="24"/>
          <w:szCs w:val="24"/>
        </w:rPr>
      </w:pPr>
      <w:r>
        <w:rPr>
          <w:rFonts w:ascii="Arial" w:eastAsia="Arial" w:hAnsi="Arial" w:cs="Arial"/>
          <w:sz w:val="24"/>
          <w:szCs w:val="24"/>
        </w:rPr>
        <w:tab/>
      </w:r>
      <w:r w:rsidRPr="000C7E68">
        <w:rPr>
          <w:rFonts w:ascii="Arial" w:eastAsia="Arial" w:hAnsi="Arial" w:cs="Arial"/>
          <w:sz w:val="24"/>
          <w:szCs w:val="24"/>
        </w:rPr>
        <w:t>Dessa forma, constata-se a relevância dos jornais como documentos históricos, sobretudo para compreender as dinâmicas de poder nas sociedades. A análise do Monitor Campista revela o uso estratégico desse veículo pela elite canavieira, que o empregava para defender seus projetos,</w:t>
      </w:r>
      <w:r w:rsidR="009F73FE">
        <w:rPr>
          <w:rFonts w:ascii="Arial" w:eastAsia="Arial" w:hAnsi="Arial" w:cs="Arial"/>
          <w:sz w:val="24"/>
          <w:szCs w:val="24"/>
        </w:rPr>
        <w:t xml:space="preserve"> </w:t>
      </w:r>
      <w:r w:rsidRPr="000C7E68">
        <w:rPr>
          <w:rFonts w:ascii="Arial" w:eastAsia="Arial" w:hAnsi="Arial" w:cs="Arial"/>
          <w:sz w:val="24"/>
          <w:szCs w:val="24"/>
        </w:rPr>
        <w:t xml:space="preserve">destacando sucessos e silenciando fracassos, a exemplo do colapso </w:t>
      </w:r>
      <w:r>
        <w:rPr>
          <w:rFonts w:ascii="Arial" w:eastAsia="Arial" w:hAnsi="Arial" w:cs="Arial"/>
          <w:sz w:val="24"/>
          <w:szCs w:val="24"/>
        </w:rPr>
        <w:t>do setor</w:t>
      </w:r>
      <w:r w:rsidRPr="000C7E68">
        <w:rPr>
          <w:rFonts w:ascii="Arial" w:eastAsia="Arial" w:hAnsi="Arial" w:cs="Arial"/>
          <w:sz w:val="24"/>
          <w:szCs w:val="24"/>
        </w:rPr>
        <w:t xml:space="preserve"> sucroalcooleir</w:t>
      </w:r>
      <w:r>
        <w:rPr>
          <w:rFonts w:ascii="Arial" w:eastAsia="Arial" w:hAnsi="Arial" w:cs="Arial"/>
          <w:sz w:val="24"/>
          <w:szCs w:val="24"/>
        </w:rPr>
        <w:t>o</w:t>
      </w:r>
      <w:r w:rsidRPr="000C7E68">
        <w:rPr>
          <w:rFonts w:ascii="Arial" w:eastAsia="Arial" w:hAnsi="Arial" w:cs="Arial"/>
          <w:sz w:val="24"/>
          <w:szCs w:val="24"/>
        </w:rPr>
        <w:t xml:space="preserve"> na região Norte Fluminense.</w:t>
      </w:r>
    </w:p>
    <w:p w14:paraId="1E3070AF" w14:textId="77777777" w:rsidR="00D17C15" w:rsidRDefault="00D17C15" w:rsidP="00D17C15">
      <w:pPr>
        <w:pStyle w:val="Ttulo2"/>
        <w:keepNext w:val="0"/>
        <w:keepLines w:val="0"/>
        <w:jc w:val="both"/>
        <w:rPr>
          <w:rFonts w:ascii="Arial" w:eastAsia="Arial" w:hAnsi="Arial" w:cs="Arial"/>
          <w:sz w:val="24"/>
          <w:szCs w:val="24"/>
        </w:rPr>
      </w:pPr>
      <w:bookmarkStart w:id="3" w:name="_u8dvdtu6gzl1" w:colFirst="0" w:colLast="0"/>
      <w:bookmarkEnd w:id="3"/>
      <w:r>
        <w:rPr>
          <w:rFonts w:ascii="Arial" w:eastAsia="Arial" w:hAnsi="Arial" w:cs="Arial"/>
          <w:sz w:val="24"/>
          <w:szCs w:val="24"/>
        </w:rPr>
        <w:t>4. Conclusão</w:t>
      </w:r>
    </w:p>
    <w:p w14:paraId="4A239ED6" w14:textId="4F3C10F2" w:rsidR="00C71E09" w:rsidRDefault="00EF1D31" w:rsidP="002D741F">
      <w:pPr>
        <w:spacing w:after="120" w:line="360" w:lineRule="auto"/>
        <w:ind w:firstLine="720"/>
        <w:jc w:val="both"/>
        <w:rPr>
          <w:rFonts w:ascii="Arial" w:eastAsia="Arial" w:hAnsi="Arial" w:cs="Arial"/>
          <w:sz w:val="24"/>
          <w:szCs w:val="24"/>
        </w:rPr>
      </w:pPr>
      <w:r>
        <w:rPr>
          <w:rFonts w:ascii="Arial" w:eastAsia="Arial" w:hAnsi="Arial" w:cs="Arial"/>
          <w:sz w:val="24"/>
          <w:szCs w:val="24"/>
        </w:rPr>
        <w:t>O presente artigo buscou elaborar discussões sobre a geohistória do Norte Fluminense, assim como discutir o conceito de região e sua “invenção” a partir de processos econômicos, políticos, sociais, culturais etc., que interagem e se materializam nesta espacialidade. As bases d</w:t>
      </w:r>
      <w:r w:rsidR="009F73FE">
        <w:rPr>
          <w:rFonts w:ascii="Arial" w:eastAsia="Arial" w:hAnsi="Arial" w:cs="Arial"/>
          <w:sz w:val="24"/>
          <w:szCs w:val="24"/>
        </w:rPr>
        <w:t xml:space="preserve">a criação do Norte Fluminense datam do século XVI e se relacionam diretamente com a atividade canavieira. </w:t>
      </w:r>
    </w:p>
    <w:p w14:paraId="7DC5D264" w14:textId="3CD5C07B" w:rsidR="009F73FE" w:rsidRDefault="009F73FE" w:rsidP="002D741F">
      <w:pPr>
        <w:spacing w:after="120" w:line="360" w:lineRule="auto"/>
        <w:ind w:firstLine="720"/>
        <w:jc w:val="both"/>
        <w:rPr>
          <w:rFonts w:ascii="Arial" w:eastAsia="Arial" w:hAnsi="Arial" w:cs="Arial"/>
          <w:sz w:val="24"/>
          <w:szCs w:val="24"/>
        </w:rPr>
      </w:pPr>
      <w:r>
        <w:rPr>
          <w:rFonts w:ascii="Arial" w:eastAsia="Arial" w:hAnsi="Arial" w:cs="Arial"/>
          <w:sz w:val="24"/>
          <w:szCs w:val="24"/>
        </w:rPr>
        <w:t xml:space="preserve">O Norte Fluminense é considerado uma “invenção” porque se constituiu e é constituído por relações que possuem a capacidade de singularizar este espaço, que é o resultado de diferentes interações presentes em sua delimitação. Por ter uma delimitação de forma histórica, possui características especificas que o diferencia e o apresenta para outras espacialidades, o que permite um maior reconhecimento. Tal reconhecimento é fruto de interesses de grupos que exercem poder nessa região, utilizando-o para garantir interesses próprios. </w:t>
      </w:r>
    </w:p>
    <w:p w14:paraId="43873F73" w14:textId="3F27BEF7" w:rsidR="009F73FE" w:rsidRDefault="009F73FE" w:rsidP="002D741F">
      <w:pPr>
        <w:spacing w:after="120" w:line="360" w:lineRule="auto"/>
        <w:ind w:firstLine="720"/>
        <w:jc w:val="both"/>
        <w:rPr>
          <w:rFonts w:ascii="Arial" w:eastAsia="Arial" w:hAnsi="Arial" w:cs="Arial"/>
          <w:sz w:val="24"/>
          <w:szCs w:val="24"/>
        </w:rPr>
      </w:pPr>
      <w:r>
        <w:rPr>
          <w:rFonts w:ascii="Arial" w:eastAsia="Arial" w:hAnsi="Arial" w:cs="Arial"/>
          <w:sz w:val="24"/>
          <w:szCs w:val="24"/>
        </w:rPr>
        <w:t xml:space="preserve">Considerando as mídias impressas como uma fonte histórica capaz de relatar os acontecimentos da sociedade na época de sua publicação e evidenciar os </w:t>
      </w:r>
      <w:r>
        <w:rPr>
          <w:rFonts w:ascii="Arial" w:eastAsia="Arial" w:hAnsi="Arial" w:cs="Arial"/>
          <w:sz w:val="24"/>
          <w:szCs w:val="24"/>
        </w:rPr>
        <w:lastRenderedPageBreak/>
        <w:t xml:space="preserve">interesses das elites locais, realizou-se a análise de conteúdo do Jornal Monitor Campista durante os anos de 1980, 1983 e 1985. Constatou-se que as elites utilizaram das mídias impressas para evidenciar seus próprios interesses, ocultando problemas produtivos e exaltando a produção, remetendo ao passado glorioso do Norte Fluminense que era diretamente ligado com a cana-de-açúcar. </w:t>
      </w:r>
    </w:p>
    <w:p w14:paraId="53915DB8" w14:textId="77777777" w:rsidR="00D17C15" w:rsidRDefault="00D17C15" w:rsidP="00D17C15">
      <w:pPr>
        <w:pStyle w:val="Ttulo2"/>
        <w:keepNext w:val="0"/>
        <w:keepLines w:val="0"/>
        <w:jc w:val="both"/>
        <w:rPr>
          <w:rFonts w:ascii="Arial" w:eastAsia="Arial" w:hAnsi="Arial" w:cs="Arial"/>
          <w:sz w:val="24"/>
          <w:szCs w:val="24"/>
        </w:rPr>
      </w:pPr>
      <w:r>
        <w:rPr>
          <w:rFonts w:ascii="Arial" w:eastAsia="Arial" w:hAnsi="Arial" w:cs="Arial"/>
          <w:sz w:val="24"/>
          <w:szCs w:val="24"/>
        </w:rPr>
        <w:t>5. Referências</w:t>
      </w:r>
    </w:p>
    <w:p w14:paraId="4BE29E26" w14:textId="3887B199" w:rsidR="00222B90" w:rsidRDefault="000C7E68" w:rsidP="00FA1FFA">
      <w:pPr>
        <w:spacing w:before="200" w:after="200" w:line="240" w:lineRule="auto"/>
        <w:jc w:val="both"/>
        <w:rPr>
          <w:rFonts w:ascii="Times New Roman" w:eastAsia="Times New Roman" w:hAnsi="Times New Roman" w:cs="Times New Roman"/>
          <w:sz w:val="24"/>
          <w:szCs w:val="24"/>
        </w:rPr>
      </w:pPr>
      <w:r w:rsidRPr="000C7E68">
        <w:rPr>
          <w:rFonts w:ascii="Times New Roman" w:eastAsia="Times New Roman" w:hAnsi="Times New Roman" w:cs="Times New Roman"/>
          <w:sz w:val="24"/>
          <w:szCs w:val="24"/>
        </w:rPr>
        <w:t xml:space="preserve">ALBUQUERQUE JUNIOR, D.V. de. </w:t>
      </w:r>
      <w:r w:rsidRPr="000C7E68">
        <w:rPr>
          <w:rFonts w:ascii="Times New Roman" w:eastAsia="Times New Roman" w:hAnsi="Times New Roman" w:cs="Times New Roman"/>
          <w:b/>
          <w:bCs/>
          <w:sz w:val="24"/>
          <w:szCs w:val="24"/>
        </w:rPr>
        <w:t>A invenção do Nordeste e outras artes</w:t>
      </w:r>
      <w:r w:rsidRPr="000C7E68">
        <w:rPr>
          <w:rFonts w:ascii="Times New Roman" w:eastAsia="Times New Roman" w:hAnsi="Times New Roman" w:cs="Times New Roman"/>
          <w:sz w:val="24"/>
          <w:szCs w:val="24"/>
        </w:rPr>
        <w:t>. 5º ed. São Paulo: Cortez, 2011.</w:t>
      </w:r>
    </w:p>
    <w:p w14:paraId="69C1D3A8" w14:textId="31B7720C" w:rsidR="000C7E68" w:rsidRPr="000C7E68" w:rsidRDefault="000C7E68" w:rsidP="00FA1FFA">
      <w:pPr>
        <w:spacing w:before="200" w:after="200" w:line="240" w:lineRule="auto"/>
        <w:jc w:val="both"/>
        <w:rPr>
          <w:rFonts w:ascii="Times New Roman" w:eastAsia="Times New Roman" w:hAnsi="Times New Roman" w:cs="Times New Roman"/>
          <w:sz w:val="24"/>
          <w:szCs w:val="24"/>
        </w:rPr>
      </w:pPr>
      <w:r w:rsidRPr="000C7E68">
        <w:rPr>
          <w:rFonts w:ascii="Times New Roman" w:eastAsia="Times New Roman" w:hAnsi="Times New Roman" w:cs="Times New Roman"/>
          <w:sz w:val="24"/>
          <w:szCs w:val="24"/>
        </w:rPr>
        <w:t xml:space="preserve">BARDIN, L. </w:t>
      </w:r>
      <w:r w:rsidRPr="000C7E68">
        <w:rPr>
          <w:rFonts w:ascii="Times New Roman" w:eastAsia="Times New Roman" w:hAnsi="Times New Roman" w:cs="Times New Roman"/>
          <w:b/>
          <w:bCs/>
          <w:sz w:val="24"/>
          <w:szCs w:val="24"/>
        </w:rPr>
        <w:t>Análise de Conteúdo</w:t>
      </w:r>
      <w:r w:rsidRPr="000C7E68">
        <w:rPr>
          <w:rFonts w:ascii="Times New Roman" w:eastAsia="Times New Roman" w:hAnsi="Times New Roman" w:cs="Times New Roman"/>
          <w:sz w:val="24"/>
          <w:szCs w:val="24"/>
        </w:rPr>
        <w:t>. Lisboa: Edições 70, 1977.</w:t>
      </w:r>
    </w:p>
    <w:p w14:paraId="66673EB2" w14:textId="4BE1D50F" w:rsidR="000C7E68" w:rsidRDefault="000C7E68" w:rsidP="00FA1FFA">
      <w:pPr>
        <w:spacing w:before="200" w:after="200" w:line="240" w:lineRule="auto"/>
        <w:jc w:val="both"/>
        <w:rPr>
          <w:rFonts w:ascii="Times New Roman" w:eastAsia="Times New Roman" w:hAnsi="Times New Roman" w:cs="Times New Roman"/>
          <w:sz w:val="24"/>
          <w:szCs w:val="24"/>
        </w:rPr>
      </w:pPr>
      <w:r w:rsidRPr="000C7E68">
        <w:rPr>
          <w:rFonts w:ascii="Times New Roman" w:eastAsia="Times New Roman" w:hAnsi="Times New Roman" w:cs="Times New Roman"/>
          <w:sz w:val="24"/>
          <w:szCs w:val="24"/>
        </w:rPr>
        <w:t xml:space="preserve">BARROS, J. D. Sobre o uso dos jornais como fontes históricas - uma síntese metodológica. </w:t>
      </w:r>
      <w:r w:rsidRPr="000C7E68">
        <w:rPr>
          <w:rFonts w:ascii="Times New Roman" w:eastAsia="Times New Roman" w:hAnsi="Times New Roman" w:cs="Times New Roman"/>
          <w:b/>
          <w:bCs/>
          <w:sz w:val="24"/>
          <w:szCs w:val="24"/>
        </w:rPr>
        <w:t>Revista Portuguesa de História</w:t>
      </w:r>
      <w:r w:rsidRPr="000C7E68">
        <w:rPr>
          <w:rFonts w:ascii="Times New Roman" w:eastAsia="Times New Roman" w:hAnsi="Times New Roman" w:cs="Times New Roman"/>
          <w:sz w:val="24"/>
          <w:szCs w:val="24"/>
        </w:rPr>
        <w:t>, 2021.</w:t>
      </w:r>
    </w:p>
    <w:p w14:paraId="4900A639" w14:textId="475ED90B" w:rsidR="000C7E68" w:rsidRDefault="000C7E68" w:rsidP="00FA1FFA">
      <w:pPr>
        <w:spacing w:before="200" w:after="200" w:line="240" w:lineRule="auto"/>
        <w:jc w:val="both"/>
        <w:rPr>
          <w:rFonts w:ascii="Times New Roman" w:eastAsia="Times New Roman" w:hAnsi="Times New Roman" w:cs="Times New Roman"/>
          <w:sz w:val="24"/>
          <w:szCs w:val="24"/>
        </w:rPr>
      </w:pPr>
      <w:r w:rsidRPr="000C7E68">
        <w:rPr>
          <w:rFonts w:ascii="Times New Roman" w:eastAsia="Times New Roman" w:hAnsi="Times New Roman" w:cs="Times New Roman"/>
          <w:sz w:val="24"/>
          <w:szCs w:val="24"/>
        </w:rPr>
        <w:t xml:space="preserve">CHARAUDEAU, P. </w:t>
      </w:r>
      <w:r w:rsidRPr="000C7E68">
        <w:rPr>
          <w:rFonts w:ascii="Times New Roman" w:eastAsia="Times New Roman" w:hAnsi="Times New Roman" w:cs="Times New Roman"/>
          <w:b/>
          <w:bCs/>
          <w:sz w:val="24"/>
          <w:szCs w:val="24"/>
        </w:rPr>
        <w:t>Discurso das mídias</w:t>
      </w:r>
      <w:r w:rsidRPr="000C7E68">
        <w:rPr>
          <w:rFonts w:ascii="Times New Roman" w:eastAsia="Times New Roman" w:hAnsi="Times New Roman" w:cs="Times New Roman"/>
          <w:sz w:val="24"/>
          <w:szCs w:val="24"/>
        </w:rPr>
        <w:t>. São Paulo: Editora Contexto, 2013.</w:t>
      </w:r>
    </w:p>
    <w:p w14:paraId="1D819228" w14:textId="1F387639" w:rsidR="009F650C" w:rsidRPr="000C7E68" w:rsidRDefault="009F650C" w:rsidP="00FA1FFA">
      <w:pPr>
        <w:spacing w:before="200" w:after="200" w:line="240" w:lineRule="auto"/>
        <w:jc w:val="both"/>
        <w:rPr>
          <w:rFonts w:ascii="Times New Roman" w:eastAsia="Times New Roman" w:hAnsi="Times New Roman" w:cs="Times New Roman"/>
          <w:sz w:val="24"/>
          <w:szCs w:val="24"/>
        </w:rPr>
      </w:pPr>
      <w:r w:rsidRPr="009F650C">
        <w:rPr>
          <w:rFonts w:ascii="Times New Roman" w:eastAsia="Times New Roman" w:hAnsi="Times New Roman" w:cs="Times New Roman"/>
          <w:sz w:val="24"/>
          <w:szCs w:val="24"/>
        </w:rPr>
        <w:t xml:space="preserve">FONSECA, A. A. M. Em torno do conceito de região. </w:t>
      </w:r>
      <w:r w:rsidRPr="009F650C">
        <w:rPr>
          <w:rFonts w:ascii="Times New Roman" w:eastAsia="Times New Roman" w:hAnsi="Times New Roman" w:cs="Times New Roman"/>
          <w:b/>
          <w:bCs/>
          <w:sz w:val="24"/>
          <w:szCs w:val="24"/>
        </w:rPr>
        <w:t>Sitientibus</w:t>
      </w:r>
      <w:r w:rsidRPr="009F650C">
        <w:rPr>
          <w:rFonts w:ascii="Times New Roman" w:eastAsia="Times New Roman" w:hAnsi="Times New Roman" w:cs="Times New Roman"/>
          <w:sz w:val="24"/>
          <w:szCs w:val="24"/>
        </w:rPr>
        <w:t>, Feira de Santana, v. 21, n. 1, p. 89-100, dez. 1999.</w:t>
      </w:r>
    </w:p>
    <w:p w14:paraId="3E9E4C5D" w14:textId="38F5C3A1" w:rsidR="000C7E68" w:rsidRDefault="000C7E68" w:rsidP="00FA1FFA">
      <w:pPr>
        <w:spacing w:before="200" w:after="200" w:line="240" w:lineRule="auto"/>
        <w:jc w:val="both"/>
        <w:rPr>
          <w:rFonts w:ascii="Times New Roman" w:eastAsia="Times New Roman" w:hAnsi="Times New Roman" w:cs="Times New Roman"/>
          <w:sz w:val="24"/>
          <w:szCs w:val="24"/>
        </w:rPr>
      </w:pPr>
      <w:r w:rsidRPr="000C7E68">
        <w:rPr>
          <w:rFonts w:ascii="Times New Roman" w:eastAsia="Times New Roman" w:hAnsi="Times New Roman" w:cs="Times New Roman"/>
          <w:sz w:val="24"/>
          <w:szCs w:val="24"/>
        </w:rPr>
        <w:t xml:space="preserve">HAESBAERT, R. da C. </w:t>
      </w:r>
      <w:r w:rsidRPr="000C7E68">
        <w:rPr>
          <w:rFonts w:ascii="Times New Roman" w:eastAsia="Times New Roman" w:hAnsi="Times New Roman" w:cs="Times New Roman"/>
          <w:b/>
          <w:bCs/>
          <w:sz w:val="24"/>
          <w:szCs w:val="24"/>
        </w:rPr>
        <w:t>Regional-Global: Dilemas da região e da regionalização na Geografia contemporânea</w:t>
      </w:r>
      <w:r w:rsidRPr="000C7E68">
        <w:rPr>
          <w:rFonts w:ascii="Times New Roman" w:eastAsia="Times New Roman" w:hAnsi="Times New Roman" w:cs="Times New Roman"/>
          <w:sz w:val="24"/>
          <w:szCs w:val="24"/>
        </w:rPr>
        <w:t>. 3° ed. Rio de Janeiro: Bertrand Brasil, 2018.</w:t>
      </w:r>
    </w:p>
    <w:p w14:paraId="0FD28692" w14:textId="034CCA67" w:rsidR="000C7E68" w:rsidRDefault="000C7E68" w:rsidP="00FA1FFA">
      <w:pPr>
        <w:spacing w:before="200" w:after="200" w:line="240" w:lineRule="auto"/>
        <w:jc w:val="both"/>
        <w:rPr>
          <w:rFonts w:ascii="Times New Roman" w:eastAsia="Times New Roman" w:hAnsi="Times New Roman" w:cs="Times New Roman"/>
          <w:sz w:val="24"/>
          <w:szCs w:val="24"/>
        </w:rPr>
      </w:pPr>
      <w:r w:rsidRPr="000C7E68">
        <w:rPr>
          <w:rFonts w:ascii="Times New Roman" w:eastAsia="Times New Roman" w:hAnsi="Times New Roman" w:cs="Times New Roman"/>
          <w:sz w:val="24"/>
          <w:szCs w:val="24"/>
        </w:rPr>
        <w:t xml:space="preserve">IBGE- Instituto Brasileiro de Geografia e Estatística. Dados dos municípios. Cidades-IBGE. Disponível em: </w:t>
      </w:r>
      <w:hyperlink r:id="rId9" w:history="1">
        <w:r w:rsidR="009F650C" w:rsidRPr="009F650C">
          <w:rPr>
            <w:rStyle w:val="Hyperlink"/>
            <w:rFonts w:ascii="Times New Roman" w:eastAsia="Times New Roman" w:hAnsi="Times New Roman" w:cs="Times New Roman"/>
            <w:sz w:val="24"/>
            <w:szCs w:val="24"/>
          </w:rPr>
          <w:t>https://cidades.ibge.gov.br/brasil/rj/panorama</w:t>
        </w:r>
      </w:hyperlink>
      <w:r w:rsidR="009F650C" w:rsidRPr="000C7E68">
        <w:rPr>
          <w:rFonts w:ascii="Times New Roman" w:eastAsia="Times New Roman" w:hAnsi="Times New Roman" w:cs="Times New Roman"/>
          <w:sz w:val="24"/>
          <w:szCs w:val="24"/>
        </w:rPr>
        <w:t>.</w:t>
      </w:r>
      <w:r w:rsidRPr="000C7E68">
        <w:rPr>
          <w:rFonts w:ascii="Times New Roman" w:eastAsia="Times New Roman" w:hAnsi="Times New Roman" w:cs="Times New Roman"/>
          <w:sz w:val="24"/>
          <w:szCs w:val="24"/>
        </w:rPr>
        <w:t xml:space="preserve"> Acesso em: </w:t>
      </w:r>
      <w:r>
        <w:rPr>
          <w:rFonts w:ascii="Times New Roman" w:eastAsia="Times New Roman" w:hAnsi="Times New Roman" w:cs="Times New Roman"/>
          <w:sz w:val="24"/>
          <w:szCs w:val="24"/>
        </w:rPr>
        <w:t>12 maio</w:t>
      </w:r>
      <w:r w:rsidR="009F650C">
        <w:rPr>
          <w:rFonts w:ascii="Times New Roman" w:eastAsia="Times New Roman" w:hAnsi="Times New Roman" w:cs="Times New Roman"/>
          <w:sz w:val="24"/>
          <w:szCs w:val="24"/>
        </w:rPr>
        <w:t xml:space="preserve"> de 2024</w:t>
      </w:r>
      <w:r w:rsidRPr="000C7E68">
        <w:rPr>
          <w:rFonts w:ascii="Times New Roman" w:eastAsia="Times New Roman" w:hAnsi="Times New Roman" w:cs="Times New Roman"/>
          <w:sz w:val="24"/>
          <w:szCs w:val="24"/>
        </w:rPr>
        <w:t>.</w:t>
      </w:r>
    </w:p>
    <w:p w14:paraId="17CCE69D" w14:textId="49AC99AD" w:rsidR="009F650C" w:rsidRDefault="009F650C" w:rsidP="00FA1FFA">
      <w:pPr>
        <w:spacing w:before="200" w:after="200" w:line="240" w:lineRule="auto"/>
        <w:jc w:val="both"/>
        <w:rPr>
          <w:rFonts w:ascii="Times New Roman" w:eastAsia="Times New Roman" w:hAnsi="Times New Roman" w:cs="Times New Roman"/>
          <w:sz w:val="24"/>
          <w:szCs w:val="24"/>
        </w:rPr>
      </w:pPr>
      <w:r w:rsidRPr="009F650C">
        <w:rPr>
          <w:rFonts w:ascii="Times New Roman" w:eastAsia="Times New Roman" w:hAnsi="Times New Roman" w:cs="Times New Roman"/>
          <w:sz w:val="24"/>
          <w:szCs w:val="24"/>
        </w:rPr>
        <w:t xml:space="preserve">PARANHOS, P. </w:t>
      </w:r>
      <w:r w:rsidRPr="009F650C">
        <w:rPr>
          <w:rFonts w:ascii="Times New Roman" w:eastAsia="Times New Roman" w:hAnsi="Times New Roman" w:cs="Times New Roman"/>
          <w:b/>
          <w:bCs/>
          <w:sz w:val="24"/>
          <w:szCs w:val="24"/>
        </w:rPr>
        <w:t>O açúcar no Norte Fluminense</w:t>
      </w:r>
      <w:r w:rsidRPr="009F650C">
        <w:rPr>
          <w:rFonts w:ascii="Times New Roman" w:eastAsia="Times New Roman" w:hAnsi="Times New Roman" w:cs="Times New Roman"/>
          <w:sz w:val="24"/>
          <w:szCs w:val="24"/>
        </w:rPr>
        <w:t>, 20</w:t>
      </w:r>
      <w:r>
        <w:rPr>
          <w:rFonts w:ascii="Times New Roman" w:eastAsia="Times New Roman" w:hAnsi="Times New Roman" w:cs="Times New Roman"/>
          <w:sz w:val="24"/>
          <w:szCs w:val="24"/>
        </w:rPr>
        <w:t>10</w:t>
      </w:r>
      <w:r w:rsidRPr="009F650C">
        <w:rPr>
          <w:rFonts w:ascii="Times New Roman" w:eastAsia="Times New Roman" w:hAnsi="Times New Roman" w:cs="Times New Roman"/>
          <w:sz w:val="24"/>
          <w:szCs w:val="24"/>
        </w:rPr>
        <w:t>.</w:t>
      </w:r>
    </w:p>
    <w:p w14:paraId="1A71AE7C" w14:textId="77777777" w:rsidR="009F650C" w:rsidRDefault="009F650C" w:rsidP="00FA1FFA">
      <w:pPr>
        <w:spacing w:line="240" w:lineRule="auto"/>
        <w:rPr>
          <w:rFonts w:ascii="Times New Roman" w:eastAsia="Times New Roman" w:hAnsi="Times New Roman" w:cs="Times New Roman"/>
          <w:sz w:val="24"/>
          <w:szCs w:val="24"/>
        </w:rPr>
      </w:pPr>
      <w:r w:rsidRPr="009F650C">
        <w:rPr>
          <w:rFonts w:ascii="Times New Roman" w:eastAsia="Times New Roman" w:hAnsi="Times New Roman" w:cs="Times New Roman"/>
          <w:sz w:val="24"/>
          <w:szCs w:val="24"/>
        </w:rPr>
        <w:t xml:space="preserve">PIRIS, E. L. Ethos e pathos na primeira página do jornal. </w:t>
      </w:r>
      <w:r w:rsidRPr="009F650C">
        <w:rPr>
          <w:rFonts w:ascii="Times New Roman" w:eastAsia="Times New Roman" w:hAnsi="Times New Roman" w:cs="Times New Roman"/>
          <w:b/>
          <w:bCs/>
          <w:sz w:val="24"/>
          <w:szCs w:val="24"/>
        </w:rPr>
        <w:t>Estudos Linguísticos</w:t>
      </w:r>
      <w:r w:rsidRPr="009F650C">
        <w:rPr>
          <w:rFonts w:ascii="Times New Roman" w:eastAsia="Times New Roman" w:hAnsi="Times New Roman" w:cs="Times New Roman"/>
          <w:sz w:val="24"/>
          <w:szCs w:val="24"/>
        </w:rPr>
        <w:t xml:space="preserve"> (São Paulo. 1978), v.40, n. 3, p. 1292–1302, 2016.</w:t>
      </w:r>
    </w:p>
    <w:p w14:paraId="1CDFEC9D" w14:textId="261A409C" w:rsidR="009F650C" w:rsidRDefault="009F650C" w:rsidP="00FA1FFA">
      <w:pPr>
        <w:spacing w:line="240" w:lineRule="auto"/>
        <w:rPr>
          <w:rFonts w:ascii="Times New Roman" w:eastAsia="Times New Roman" w:hAnsi="Times New Roman" w:cs="Times New Roman"/>
          <w:sz w:val="24"/>
          <w:szCs w:val="24"/>
        </w:rPr>
      </w:pPr>
      <w:r w:rsidRPr="009F650C">
        <w:rPr>
          <w:rFonts w:ascii="Times New Roman" w:eastAsia="Times New Roman" w:hAnsi="Times New Roman" w:cs="Times New Roman"/>
          <w:sz w:val="24"/>
          <w:szCs w:val="24"/>
        </w:rPr>
        <w:t xml:space="preserve">MESQUITA, Zandor Gomes. </w:t>
      </w:r>
      <w:r w:rsidRPr="009F650C">
        <w:rPr>
          <w:rFonts w:ascii="Times New Roman" w:eastAsia="Times New Roman" w:hAnsi="Times New Roman" w:cs="Times New Roman"/>
          <w:b/>
          <w:bCs/>
          <w:sz w:val="24"/>
          <w:szCs w:val="24"/>
        </w:rPr>
        <w:t>Entre a “di-visão”, o “arte-fato” e os “meios”: a “invenção” da região Norte Fluminense</w:t>
      </w:r>
      <w:r w:rsidRPr="009F650C">
        <w:rPr>
          <w:rFonts w:ascii="Times New Roman" w:eastAsia="Times New Roman" w:hAnsi="Times New Roman" w:cs="Times New Roman"/>
          <w:sz w:val="24"/>
          <w:szCs w:val="24"/>
        </w:rPr>
        <w:t>. 2021. TESE (Doutorado em Geografia) - Universidade Federal do Espírito Santo, 2021</w:t>
      </w:r>
      <w:r>
        <w:rPr>
          <w:rFonts w:ascii="Times New Roman" w:eastAsia="Times New Roman" w:hAnsi="Times New Roman" w:cs="Times New Roman"/>
          <w:sz w:val="24"/>
          <w:szCs w:val="24"/>
        </w:rPr>
        <w:t>.</w:t>
      </w:r>
    </w:p>
    <w:p w14:paraId="5B26723F" w14:textId="0A2A66A0" w:rsidR="00EF1D31" w:rsidRPr="009F650C" w:rsidRDefault="00EF1D31" w:rsidP="00FA1FFA">
      <w:pPr>
        <w:spacing w:line="240" w:lineRule="auto"/>
        <w:rPr>
          <w:rFonts w:ascii="Times New Roman" w:eastAsia="Times New Roman" w:hAnsi="Times New Roman" w:cs="Times New Roman"/>
          <w:sz w:val="24"/>
          <w:szCs w:val="24"/>
        </w:rPr>
      </w:pPr>
      <w:r w:rsidRPr="00EF1D31">
        <w:rPr>
          <w:rFonts w:ascii="Times New Roman" w:eastAsia="Times New Roman" w:hAnsi="Times New Roman" w:cs="Times New Roman"/>
          <w:sz w:val="24"/>
          <w:szCs w:val="24"/>
        </w:rPr>
        <w:t>MESQUITA, Zandor Gomes; AZEVEDO, Carolinne Barcellos de Carvalho. A “INVENÇÃO” DA REGIÃO NORTE FLUMINENSE E AS AÇÕES DA</w:t>
      </w:r>
      <w:r>
        <w:rPr>
          <w:rFonts w:ascii="Times New Roman" w:eastAsia="Times New Roman" w:hAnsi="Times New Roman" w:cs="Times New Roman"/>
          <w:sz w:val="24"/>
          <w:szCs w:val="24"/>
        </w:rPr>
        <w:t xml:space="preserve"> </w:t>
      </w:r>
      <w:r w:rsidRPr="00EF1D31">
        <w:rPr>
          <w:rFonts w:ascii="Times New Roman" w:eastAsia="Times New Roman" w:hAnsi="Times New Roman" w:cs="Times New Roman"/>
          <w:sz w:val="24"/>
          <w:szCs w:val="24"/>
        </w:rPr>
        <w:t>ELITE</w:t>
      </w:r>
      <w:r>
        <w:rPr>
          <w:rFonts w:ascii="Times New Roman" w:eastAsia="Times New Roman" w:hAnsi="Times New Roman" w:cs="Times New Roman"/>
          <w:sz w:val="24"/>
          <w:szCs w:val="24"/>
        </w:rPr>
        <w:t xml:space="preserve"> </w:t>
      </w:r>
      <w:r w:rsidRPr="00EF1D31">
        <w:rPr>
          <w:rFonts w:ascii="Times New Roman" w:eastAsia="Times New Roman" w:hAnsi="Times New Roman" w:cs="Times New Roman"/>
          <w:sz w:val="24"/>
          <w:szCs w:val="24"/>
        </w:rPr>
        <w:t xml:space="preserve">DO SETOR SUCROALCOOLEIRO EM CONTEXTO DE CRISE: AS CAPAS DO MONITOR CAMPISTA (1980-1985). </w:t>
      </w:r>
      <w:r w:rsidRPr="00EF1D31">
        <w:rPr>
          <w:rFonts w:ascii="Times New Roman" w:eastAsia="Times New Roman" w:hAnsi="Times New Roman" w:cs="Times New Roman"/>
          <w:b/>
          <w:bCs/>
          <w:sz w:val="24"/>
          <w:szCs w:val="24"/>
        </w:rPr>
        <w:t>Anais do VI Encontro Nacional de História da Geografia e IV Encontro Nacional de Geografia Histórica</w:t>
      </w:r>
      <w:r w:rsidRPr="00EF1D31">
        <w:rPr>
          <w:rFonts w:ascii="Times New Roman" w:eastAsia="Times New Roman" w:hAnsi="Times New Roman" w:cs="Times New Roman"/>
          <w:sz w:val="24"/>
          <w:szCs w:val="24"/>
        </w:rPr>
        <w:t>, 2024.</w:t>
      </w:r>
      <w:r>
        <w:rPr>
          <w:rFonts w:ascii="Times New Roman" w:eastAsia="Times New Roman" w:hAnsi="Times New Roman" w:cs="Times New Roman"/>
          <w:sz w:val="24"/>
          <w:szCs w:val="24"/>
        </w:rPr>
        <w:t xml:space="preserve"> Disponível em: </w:t>
      </w:r>
      <w:hyperlink r:id="rId10" w:history="1">
        <w:r w:rsidRPr="006E3864">
          <w:rPr>
            <w:rStyle w:val="Hyperlink"/>
            <w:rFonts w:ascii="Times New Roman" w:eastAsia="Times New Roman" w:hAnsi="Times New Roman" w:cs="Times New Roman"/>
            <w:sz w:val="24"/>
            <w:szCs w:val="24"/>
          </w:rPr>
          <w:t>https://redebrasilis.net/wpcontent/uploads/2025/01/ANAIS_VIHPG_ENG_Final_Retificado2.pdf</w:t>
        </w:r>
      </w:hyperlink>
    </w:p>
    <w:p w14:paraId="3474472C" w14:textId="77777777" w:rsidR="00222B90" w:rsidRDefault="00222B90" w:rsidP="00FA1FFA">
      <w:pPr>
        <w:spacing w:before="200" w:after="200" w:line="240" w:lineRule="auto"/>
        <w:jc w:val="both"/>
        <w:rPr>
          <w:rFonts w:ascii="Times New Roman" w:eastAsia="Times New Roman" w:hAnsi="Times New Roman" w:cs="Times New Roman"/>
          <w:sz w:val="24"/>
          <w:szCs w:val="24"/>
        </w:rPr>
      </w:pPr>
    </w:p>
    <w:sectPr w:rsidR="00222B90" w:rsidSect="002D77C0">
      <w:headerReference w:type="even" r:id="rId11"/>
      <w:headerReference w:type="default" r:id="rId12"/>
      <w:footerReference w:type="default" r:id="rId13"/>
      <w:headerReference w:type="first" r:id="rId14"/>
      <w:footerReference w:type="first" r:id="rId15"/>
      <w:pgSz w:w="11906" w:h="16838"/>
      <w:pgMar w:top="1985" w:right="1134" w:bottom="1701" w:left="1701" w:header="1701" w:footer="27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419C51" w14:textId="77777777" w:rsidR="00E56138" w:rsidRDefault="00E56138">
      <w:pPr>
        <w:spacing w:after="0" w:line="240" w:lineRule="auto"/>
      </w:pPr>
      <w:r>
        <w:separator/>
      </w:r>
    </w:p>
  </w:endnote>
  <w:endnote w:type="continuationSeparator" w:id="0">
    <w:p w14:paraId="16494B55" w14:textId="77777777" w:rsidR="00E56138" w:rsidRDefault="00E561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AEC252" w14:textId="150F3BFE" w:rsidR="00814DA0" w:rsidRDefault="005352E5">
    <w:pPr>
      <w:pBdr>
        <w:top w:val="nil"/>
        <w:left w:val="nil"/>
        <w:bottom w:val="nil"/>
        <w:right w:val="nil"/>
        <w:between w:val="nil"/>
      </w:pBdr>
      <w:tabs>
        <w:tab w:val="center" w:pos="4252"/>
        <w:tab w:val="right" w:pos="8504"/>
      </w:tabs>
      <w:spacing w:after="0" w:line="240" w:lineRule="auto"/>
      <w:ind w:left="-1695"/>
      <w:rPr>
        <w:color w:val="000000"/>
      </w:rPr>
    </w:pPr>
    <w:r w:rsidRPr="00A2434B">
      <w:rPr>
        <w:noProof/>
      </w:rPr>
      <w:drawing>
        <wp:inline distT="0" distB="0" distL="0" distR="0" wp14:anchorId="237FD1E0" wp14:editId="01A0E8CA">
          <wp:extent cx="7848600" cy="209550"/>
          <wp:effectExtent l="0" t="0" r="0" b="0"/>
          <wp:docPr id="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48600" cy="209550"/>
                  </a:xfrm>
                  <a:prstGeom prst="rect">
                    <a:avLst/>
                  </a:prstGeom>
                  <a:noFill/>
                  <a:ln>
                    <a:noFill/>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AB27D" w14:textId="06978CE6" w:rsidR="00D732BA" w:rsidRDefault="005352E5" w:rsidP="00D732BA">
    <w:pPr>
      <w:pStyle w:val="Rodap"/>
      <w:ind w:left="-1701"/>
    </w:pPr>
    <w:r w:rsidRPr="00A2434B">
      <w:rPr>
        <w:noProof/>
      </w:rPr>
      <w:drawing>
        <wp:inline distT="0" distB="0" distL="0" distR="0" wp14:anchorId="79A3318C" wp14:editId="5AD70995">
          <wp:extent cx="8391525" cy="228600"/>
          <wp:effectExtent l="0" t="0" r="0"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91525" cy="2286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25BEFE" w14:textId="77777777" w:rsidR="00E56138" w:rsidRDefault="00E56138">
      <w:pPr>
        <w:spacing w:after="0" w:line="240" w:lineRule="auto"/>
      </w:pPr>
      <w:r>
        <w:separator/>
      </w:r>
    </w:p>
  </w:footnote>
  <w:footnote w:type="continuationSeparator" w:id="0">
    <w:p w14:paraId="616D8099" w14:textId="77777777" w:rsidR="00E56138" w:rsidRDefault="00E561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84590" w14:textId="5F597947" w:rsidR="002D77C0" w:rsidRDefault="00000000" w:rsidP="00857725">
    <w:pPr>
      <w:pStyle w:val="Cabealho"/>
      <w:framePr w:wrap="none" w:vAnchor="text" w:hAnchor="margin" w:xAlign="right" w:y="1"/>
      <w:rPr>
        <w:rStyle w:val="Nmerodepgina"/>
      </w:rPr>
    </w:pPr>
    <w:r>
      <w:rPr>
        <w:noProof/>
      </w:rPr>
      <w:pict w14:anchorId="068E6F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7" o:spid="_x0000_s1031" type="#_x0000_t75" style="position:absolute;margin-left:0;margin-top:0;width:453.4pt;height:316.35pt;z-index:-251654656;mso-position-horizontal:center;mso-position-horizontal-relative:margin;mso-position-vertical:center;mso-position-vertical-relative:margin" o:allowincell="f">
          <v:imagedata r:id="rId1" o:title="LAPIAS_MAO_isolado" gain="19661f" blacklevel="22938f"/>
          <w10:wrap anchorx="margin" anchory="margin"/>
        </v:shape>
      </w:pict>
    </w:r>
    <w:r w:rsidR="002500BD">
      <w:rPr>
        <w:rStyle w:val="Nmerodepgina"/>
      </w:rPr>
      <w:fldChar w:fldCharType="begin"/>
    </w:r>
    <w:r w:rsidR="002D77C0">
      <w:rPr>
        <w:rStyle w:val="Nmerodepgina"/>
      </w:rPr>
      <w:instrText xml:space="preserve"> PAGE </w:instrText>
    </w:r>
    <w:r w:rsidR="002500BD">
      <w:rPr>
        <w:rStyle w:val="Nmerodepgina"/>
      </w:rPr>
      <w:fldChar w:fldCharType="end"/>
    </w:r>
  </w:p>
  <w:p w14:paraId="6E01775B" w14:textId="77777777" w:rsidR="002D77C0" w:rsidRDefault="002D77C0" w:rsidP="002D77C0">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F2905" w14:textId="3A51C6F7" w:rsidR="002D77C0" w:rsidRPr="002D77C0" w:rsidRDefault="002500BD" w:rsidP="002D77C0">
    <w:pPr>
      <w:pStyle w:val="Cabealho"/>
      <w:framePr w:wrap="none" w:vAnchor="text" w:hAnchor="page" w:x="10666" w:y="-1014"/>
      <w:rPr>
        <w:rStyle w:val="Nmerodepgina"/>
        <w:rFonts w:ascii="Times New Roman" w:hAnsi="Times New Roman" w:cs="Times New Roman"/>
        <w:sz w:val="24"/>
        <w:szCs w:val="24"/>
      </w:rPr>
    </w:pPr>
    <w:r w:rsidRPr="002D77C0">
      <w:rPr>
        <w:rStyle w:val="Nmerodepgina"/>
        <w:rFonts w:ascii="Times New Roman" w:hAnsi="Times New Roman" w:cs="Times New Roman"/>
        <w:sz w:val="24"/>
        <w:szCs w:val="24"/>
      </w:rPr>
      <w:fldChar w:fldCharType="begin"/>
    </w:r>
    <w:r w:rsidR="002D77C0" w:rsidRPr="002D77C0">
      <w:rPr>
        <w:rStyle w:val="Nmerodepgina"/>
        <w:rFonts w:ascii="Times New Roman" w:hAnsi="Times New Roman" w:cs="Times New Roman"/>
        <w:sz w:val="24"/>
        <w:szCs w:val="24"/>
      </w:rPr>
      <w:instrText xml:space="preserve"> PAGE </w:instrText>
    </w:r>
    <w:r w:rsidRPr="002D77C0">
      <w:rPr>
        <w:rStyle w:val="Nmerodepgina"/>
        <w:rFonts w:ascii="Times New Roman" w:hAnsi="Times New Roman" w:cs="Times New Roman"/>
        <w:sz w:val="24"/>
        <w:szCs w:val="24"/>
      </w:rPr>
      <w:fldChar w:fldCharType="separate"/>
    </w:r>
    <w:r w:rsidR="0023277C">
      <w:rPr>
        <w:rStyle w:val="Nmerodepgina"/>
        <w:rFonts w:ascii="Times New Roman" w:hAnsi="Times New Roman" w:cs="Times New Roman"/>
        <w:noProof/>
        <w:sz w:val="24"/>
        <w:szCs w:val="24"/>
      </w:rPr>
      <w:t>2</w:t>
    </w:r>
    <w:r w:rsidRPr="002D77C0">
      <w:rPr>
        <w:rStyle w:val="Nmerodepgina"/>
        <w:rFonts w:ascii="Times New Roman" w:hAnsi="Times New Roman" w:cs="Times New Roman"/>
        <w:sz w:val="24"/>
        <w:szCs w:val="24"/>
      </w:rPr>
      <w:fldChar w:fldCharType="end"/>
    </w:r>
  </w:p>
  <w:p w14:paraId="71B55A03" w14:textId="6E4AC593" w:rsidR="00814DA0" w:rsidRDefault="00000000" w:rsidP="002D77C0">
    <w:pPr>
      <w:pBdr>
        <w:top w:val="nil"/>
        <w:left w:val="nil"/>
        <w:bottom w:val="nil"/>
        <w:right w:val="nil"/>
        <w:between w:val="nil"/>
      </w:pBdr>
      <w:tabs>
        <w:tab w:val="center" w:pos="4252"/>
        <w:tab w:val="right" w:pos="8504"/>
      </w:tabs>
      <w:spacing w:after="0" w:line="240" w:lineRule="auto"/>
      <w:ind w:right="360"/>
      <w:rPr>
        <w:color w:val="000000"/>
      </w:rPr>
    </w:pPr>
    <w:r>
      <w:rPr>
        <w:rFonts w:ascii="Times New Roman" w:hAnsi="Times New Roman" w:cs="Times New Roman"/>
        <w:noProof/>
        <w:sz w:val="24"/>
        <w:szCs w:val="24"/>
      </w:rPr>
      <w:pict w14:anchorId="74CB8A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8" o:spid="_x0000_s1032" type="#_x0000_t75" style="position:absolute;margin-left:-20.15pt;margin-top:204.9pt;width:453.4pt;height:316.35pt;z-index:-251653632;mso-position-horizontal-relative:margin;mso-position-vertical-relative:margin" o:allowincell="f">
          <v:imagedata r:id="rId1" o:title="LAPIAS_MAO_isolado" gain="19661f" blacklevel="22938f"/>
          <w10:wrap anchorx="margin" anchory="margin"/>
        </v:shape>
      </w:pict>
    </w:r>
    <w:r w:rsidR="005352E5">
      <w:rPr>
        <w:noProof/>
      </w:rPr>
      <w:drawing>
        <wp:anchor distT="0" distB="0" distL="114300" distR="114300" simplePos="0" relativeHeight="251659776" behindDoc="0" locked="0" layoutInCell="1" allowOverlap="1" wp14:anchorId="4A559789" wp14:editId="3AD20659">
          <wp:simplePos x="0" y="0"/>
          <wp:positionH relativeFrom="column">
            <wp:posOffset>-1384300</wp:posOffset>
          </wp:positionH>
          <wp:positionV relativeFrom="paragraph">
            <wp:posOffset>-756285</wp:posOffset>
          </wp:positionV>
          <wp:extent cx="9065260" cy="309245"/>
          <wp:effectExtent l="0" t="0" r="0" b="0"/>
          <wp:wrapSquare wrapText="bothSides"/>
          <wp:docPr id="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65260" cy="30924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81544F" w14:textId="59F11AD1" w:rsidR="00222B90" w:rsidRDefault="00000000" w:rsidP="005D6986">
    <w:pPr>
      <w:pStyle w:val="Cabealho"/>
      <w:ind w:left="-1701"/>
    </w:pPr>
    <w:r>
      <w:rPr>
        <w:noProof/>
      </w:rPr>
      <w:pict w14:anchorId="3EE481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6" o:spid="_x0000_s1030" type="#_x0000_t75" style="position:absolute;left:0;text-align:left;margin-left:0;margin-top:0;width:453.4pt;height:316.35pt;z-index:-251655680;mso-position-horizontal:center;mso-position-horizontal-relative:margin;mso-position-vertical:center;mso-position-vertical-relative:margin" o:allowincell="f">
          <v:imagedata r:id="rId1" o:title="LAPIAS_MAO_isolado" gain="19661f" blacklevel="22938f"/>
          <w10:wrap anchorx="margin" anchory="margin"/>
        </v:shape>
      </w:pict>
    </w:r>
    <w:r w:rsidR="005352E5">
      <w:rPr>
        <w:noProof/>
      </w:rPr>
      <w:drawing>
        <wp:anchor distT="0" distB="0" distL="114300" distR="114300" simplePos="0" relativeHeight="251658752" behindDoc="0" locked="0" layoutInCell="1" allowOverlap="1" wp14:anchorId="248C397D" wp14:editId="0EC29594">
          <wp:simplePos x="0" y="0"/>
          <wp:positionH relativeFrom="column">
            <wp:posOffset>-1080135</wp:posOffset>
          </wp:positionH>
          <wp:positionV relativeFrom="paragraph">
            <wp:posOffset>-756285</wp:posOffset>
          </wp:positionV>
          <wp:extent cx="7693025" cy="309880"/>
          <wp:effectExtent l="0" t="0" r="0" b="0"/>
          <wp:wrapSquare wrapText="bothSides"/>
          <wp:docPr id="24780655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693025" cy="3098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8540D2"/>
    <w:multiLevelType w:val="multilevel"/>
    <w:tmpl w:val="016029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61E3496"/>
    <w:multiLevelType w:val="multilevel"/>
    <w:tmpl w:val="43382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F65672"/>
    <w:multiLevelType w:val="multilevel"/>
    <w:tmpl w:val="24BE0D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CA769A5"/>
    <w:multiLevelType w:val="multilevel"/>
    <w:tmpl w:val="1A1AA926"/>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A867ECF"/>
    <w:multiLevelType w:val="multilevel"/>
    <w:tmpl w:val="4BF681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4BF4A61"/>
    <w:multiLevelType w:val="multilevel"/>
    <w:tmpl w:val="84F2D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E26590"/>
    <w:multiLevelType w:val="multilevel"/>
    <w:tmpl w:val="18BEA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3C736B"/>
    <w:multiLevelType w:val="multilevel"/>
    <w:tmpl w:val="5C0A51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4D65BC4"/>
    <w:multiLevelType w:val="hybridMultilevel"/>
    <w:tmpl w:val="A636FEE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584A4FD1"/>
    <w:multiLevelType w:val="multilevel"/>
    <w:tmpl w:val="82AEAC4A"/>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2DF548D"/>
    <w:multiLevelType w:val="multilevel"/>
    <w:tmpl w:val="B37C5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F70EB4"/>
    <w:multiLevelType w:val="hybridMultilevel"/>
    <w:tmpl w:val="3E92BB8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317809711">
    <w:abstractNumId w:val="1"/>
  </w:num>
  <w:num w:numId="2" w16cid:durableId="920288301">
    <w:abstractNumId w:val="5"/>
  </w:num>
  <w:num w:numId="3" w16cid:durableId="495222729">
    <w:abstractNumId w:val="10"/>
  </w:num>
  <w:num w:numId="4" w16cid:durableId="105394841">
    <w:abstractNumId w:val="6"/>
  </w:num>
  <w:num w:numId="5" w16cid:durableId="1541556165">
    <w:abstractNumId w:val="3"/>
  </w:num>
  <w:num w:numId="6" w16cid:durableId="214776683">
    <w:abstractNumId w:val="7"/>
  </w:num>
  <w:num w:numId="7" w16cid:durableId="1039814353">
    <w:abstractNumId w:val="11"/>
  </w:num>
  <w:num w:numId="8" w16cid:durableId="1715735877">
    <w:abstractNumId w:val="8"/>
  </w:num>
  <w:num w:numId="9" w16cid:durableId="1063411340">
    <w:abstractNumId w:val="4"/>
  </w:num>
  <w:num w:numId="10" w16cid:durableId="2018190481">
    <w:abstractNumId w:val="9"/>
  </w:num>
  <w:num w:numId="11" w16cid:durableId="398941041">
    <w:abstractNumId w:val="2"/>
  </w:num>
  <w:num w:numId="12" w16cid:durableId="10612934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DA0"/>
    <w:rsid w:val="00035C33"/>
    <w:rsid w:val="000C7E68"/>
    <w:rsid w:val="00151EC1"/>
    <w:rsid w:val="00161A13"/>
    <w:rsid w:val="0016572A"/>
    <w:rsid w:val="00172D9E"/>
    <w:rsid w:val="00173068"/>
    <w:rsid w:val="001D67A9"/>
    <w:rsid w:val="00203E2B"/>
    <w:rsid w:val="00222B90"/>
    <w:rsid w:val="0023277C"/>
    <w:rsid w:val="002500BD"/>
    <w:rsid w:val="002D741F"/>
    <w:rsid w:val="002D77C0"/>
    <w:rsid w:val="003207DA"/>
    <w:rsid w:val="003354AE"/>
    <w:rsid w:val="00336F24"/>
    <w:rsid w:val="00352D9B"/>
    <w:rsid w:val="00361EC4"/>
    <w:rsid w:val="00434344"/>
    <w:rsid w:val="00473C8D"/>
    <w:rsid w:val="004944DE"/>
    <w:rsid w:val="004D6F9A"/>
    <w:rsid w:val="004F3397"/>
    <w:rsid w:val="0051116C"/>
    <w:rsid w:val="005352E5"/>
    <w:rsid w:val="00535490"/>
    <w:rsid w:val="005A4EFF"/>
    <w:rsid w:val="005D6986"/>
    <w:rsid w:val="005E2A2D"/>
    <w:rsid w:val="0069365F"/>
    <w:rsid w:val="006E4BA2"/>
    <w:rsid w:val="0072597F"/>
    <w:rsid w:val="00814DA0"/>
    <w:rsid w:val="00857725"/>
    <w:rsid w:val="00860BD9"/>
    <w:rsid w:val="008C0439"/>
    <w:rsid w:val="008E1C36"/>
    <w:rsid w:val="008F11E9"/>
    <w:rsid w:val="009528FD"/>
    <w:rsid w:val="00957C81"/>
    <w:rsid w:val="009D470D"/>
    <w:rsid w:val="009F650C"/>
    <w:rsid w:val="009F73FE"/>
    <w:rsid w:val="00A33750"/>
    <w:rsid w:val="00A80848"/>
    <w:rsid w:val="00B1376E"/>
    <w:rsid w:val="00B51029"/>
    <w:rsid w:val="00B56E42"/>
    <w:rsid w:val="00B8429C"/>
    <w:rsid w:val="00B876D9"/>
    <w:rsid w:val="00BA4375"/>
    <w:rsid w:val="00BB251A"/>
    <w:rsid w:val="00C134D7"/>
    <w:rsid w:val="00C21CAE"/>
    <w:rsid w:val="00C45A11"/>
    <w:rsid w:val="00C71E09"/>
    <w:rsid w:val="00D17C15"/>
    <w:rsid w:val="00D732BA"/>
    <w:rsid w:val="00DA40A2"/>
    <w:rsid w:val="00E55B6B"/>
    <w:rsid w:val="00E56138"/>
    <w:rsid w:val="00EE48FF"/>
    <w:rsid w:val="00EF1D31"/>
    <w:rsid w:val="00EF27BE"/>
    <w:rsid w:val="00F44961"/>
    <w:rsid w:val="00FA1FFA"/>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8B523A"/>
  <w15:chartTrackingRefBased/>
  <w15:docId w15:val="{7ED252D6-833B-4ECB-BDD8-562CBD714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6642"/>
    <w:pPr>
      <w:spacing w:after="160" w:line="259" w:lineRule="auto"/>
    </w:pPr>
    <w:rPr>
      <w:sz w:val="22"/>
      <w:szCs w:val="22"/>
    </w:rPr>
  </w:style>
  <w:style w:type="paragraph" w:styleId="Ttulo1">
    <w:name w:val="heading 1"/>
    <w:basedOn w:val="Normal"/>
    <w:next w:val="Normal"/>
    <w:uiPriority w:val="9"/>
    <w:qFormat/>
    <w:rsid w:val="002500BD"/>
    <w:pPr>
      <w:keepNext/>
      <w:keepLines/>
      <w:spacing w:before="480" w:after="120"/>
      <w:outlineLvl w:val="0"/>
    </w:pPr>
    <w:rPr>
      <w:b/>
      <w:sz w:val="48"/>
      <w:szCs w:val="48"/>
    </w:rPr>
  </w:style>
  <w:style w:type="paragraph" w:styleId="Ttulo2">
    <w:name w:val="heading 2"/>
    <w:basedOn w:val="Normal"/>
    <w:next w:val="Normal"/>
    <w:uiPriority w:val="9"/>
    <w:semiHidden/>
    <w:unhideWhenUsed/>
    <w:qFormat/>
    <w:rsid w:val="002500BD"/>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2500BD"/>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2500BD"/>
    <w:pPr>
      <w:keepNext/>
      <w:keepLines/>
      <w:spacing w:before="240" w:after="40"/>
      <w:outlineLvl w:val="3"/>
    </w:pPr>
    <w:rPr>
      <w:b/>
      <w:sz w:val="24"/>
      <w:szCs w:val="24"/>
    </w:rPr>
  </w:style>
  <w:style w:type="paragraph" w:styleId="Ttulo5">
    <w:name w:val="heading 5"/>
    <w:basedOn w:val="Normal"/>
    <w:next w:val="Normal"/>
    <w:uiPriority w:val="9"/>
    <w:semiHidden/>
    <w:unhideWhenUsed/>
    <w:qFormat/>
    <w:rsid w:val="002500BD"/>
    <w:pPr>
      <w:keepNext/>
      <w:keepLines/>
      <w:spacing w:before="220" w:after="40"/>
      <w:outlineLvl w:val="4"/>
    </w:pPr>
    <w:rPr>
      <w:b/>
    </w:rPr>
  </w:style>
  <w:style w:type="paragraph" w:styleId="Ttulo6">
    <w:name w:val="heading 6"/>
    <w:basedOn w:val="Normal"/>
    <w:next w:val="Normal"/>
    <w:uiPriority w:val="9"/>
    <w:semiHidden/>
    <w:unhideWhenUsed/>
    <w:qFormat/>
    <w:rsid w:val="002500BD"/>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rsid w:val="002500BD"/>
    <w:pPr>
      <w:spacing w:after="160" w:line="259" w:lineRule="auto"/>
    </w:pPr>
    <w:rPr>
      <w:sz w:val="22"/>
      <w:szCs w:val="22"/>
    </w:rPr>
    <w:tblPr>
      <w:tblCellMar>
        <w:top w:w="0" w:type="dxa"/>
        <w:left w:w="0" w:type="dxa"/>
        <w:bottom w:w="0" w:type="dxa"/>
        <w:right w:w="0" w:type="dxa"/>
      </w:tblCellMar>
    </w:tblPr>
  </w:style>
  <w:style w:type="paragraph" w:styleId="Ttulo">
    <w:name w:val="Title"/>
    <w:basedOn w:val="Normal"/>
    <w:next w:val="Normal"/>
    <w:uiPriority w:val="10"/>
    <w:qFormat/>
    <w:rsid w:val="002500BD"/>
    <w:pPr>
      <w:keepNext/>
      <w:keepLines/>
      <w:spacing w:before="480" w:after="120"/>
    </w:pPr>
    <w:rPr>
      <w:b/>
      <w:sz w:val="72"/>
      <w:szCs w:val="72"/>
    </w:rPr>
  </w:style>
  <w:style w:type="table" w:customStyle="1" w:styleId="TableNormal0">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1">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2">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3">
    <w:name w:val="Table Normal"/>
    <w:rsid w:val="002500BD"/>
    <w:pPr>
      <w:spacing w:after="160" w:line="259" w:lineRule="auto"/>
    </w:pPr>
    <w:rPr>
      <w:sz w:val="22"/>
      <w:szCs w:val="22"/>
    </w:rPr>
    <w:tblPr>
      <w:tblCellMar>
        <w:top w:w="0" w:type="dxa"/>
        <w:left w:w="0" w:type="dxa"/>
        <w:bottom w:w="0" w:type="dxa"/>
        <w:right w:w="0" w:type="dxa"/>
      </w:tblCellMar>
    </w:tblPr>
  </w:style>
  <w:style w:type="paragraph" w:styleId="Cabealho">
    <w:name w:val="header"/>
    <w:basedOn w:val="Normal"/>
    <w:link w:val="CabealhoChar"/>
    <w:uiPriority w:val="99"/>
    <w:unhideWhenUsed/>
    <w:rsid w:val="0052313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23131"/>
  </w:style>
  <w:style w:type="paragraph" w:styleId="Rodap">
    <w:name w:val="footer"/>
    <w:basedOn w:val="Normal"/>
    <w:link w:val="RodapChar"/>
    <w:uiPriority w:val="99"/>
    <w:unhideWhenUsed/>
    <w:rsid w:val="00523131"/>
    <w:pPr>
      <w:tabs>
        <w:tab w:val="center" w:pos="4252"/>
        <w:tab w:val="right" w:pos="8504"/>
      </w:tabs>
      <w:spacing w:after="0" w:line="240" w:lineRule="auto"/>
    </w:pPr>
  </w:style>
  <w:style w:type="character" w:customStyle="1" w:styleId="RodapChar">
    <w:name w:val="Rodapé Char"/>
    <w:basedOn w:val="Fontepargpadro"/>
    <w:link w:val="Rodap"/>
    <w:uiPriority w:val="99"/>
    <w:rsid w:val="00523131"/>
  </w:style>
  <w:style w:type="paragraph" w:styleId="Subttulo">
    <w:name w:val="Subtitle"/>
    <w:basedOn w:val="Normal"/>
    <w:next w:val="Normal"/>
    <w:uiPriority w:val="11"/>
    <w:qFormat/>
    <w:rsid w:val="002500BD"/>
    <w:pPr>
      <w:keepNext/>
      <w:keepLines/>
      <w:spacing w:before="360" w:after="80"/>
    </w:pPr>
    <w:rPr>
      <w:rFonts w:ascii="Georgia" w:eastAsia="Georgia" w:hAnsi="Georgia" w:cs="Georgia"/>
      <w:i/>
      <w:color w:val="666666"/>
      <w:sz w:val="48"/>
      <w:szCs w:val="48"/>
    </w:rPr>
  </w:style>
  <w:style w:type="paragraph" w:customStyle="1" w:styleId="text-justify">
    <w:name w:val="text-justify"/>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epargpadro"/>
    <w:uiPriority w:val="99"/>
    <w:unhideWhenUsed/>
    <w:rsid w:val="00222B90"/>
    <w:rPr>
      <w:color w:val="0000FF"/>
      <w:u w:val="single"/>
    </w:rPr>
  </w:style>
  <w:style w:type="character" w:customStyle="1" w:styleId="apple-converted-space">
    <w:name w:val="apple-converted-space"/>
    <w:basedOn w:val="Fontepargpadro"/>
    <w:rsid w:val="00222B90"/>
  </w:style>
  <w:style w:type="paragraph" w:styleId="NormalWeb">
    <w:name w:val="Normal (Web)"/>
    <w:basedOn w:val="Normal"/>
    <w:uiPriority w:val="99"/>
    <w:semiHidden/>
    <w:unhideWhenUsed/>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Forte">
    <w:name w:val="Strong"/>
    <w:basedOn w:val="Fontepargpadro"/>
    <w:uiPriority w:val="22"/>
    <w:qFormat/>
    <w:rsid w:val="00222B90"/>
    <w:rPr>
      <w:b/>
      <w:bCs/>
    </w:rPr>
  </w:style>
  <w:style w:type="paragraph" w:customStyle="1" w:styleId="text-center">
    <w:name w:val="text-center"/>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Nmerodepgina">
    <w:name w:val="page number"/>
    <w:basedOn w:val="Fontepargpadro"/>
    <w:uiPriority w:val="99"/>
    <w:semiHidden/>
    <w:unhideWhenUsed/>
    <w:rsid w:val="002D77C0"/>
  </w:style>
  <w:style w:type="paragraph" w:styleId="PargrafodaLista">
    <w:name w:val="List Paragraph"/>
    <w:basedOn w:val="Normal"/>
    <w:uiPriority w:val="34"/>
    <w:qFormat/>
    <w:rsid w:val="002D77C0"/>
    <w:pPr>
      <w:ind w:left="720"/>
      <w:contextualSpacing/>
    </w:pPr>
  </w:style>
  <w:style w:type="paragraph" w:styleId="Textodebalo">
    <w:name w:val="Balloon Text"/>
    <w:basedOn w:val="Normal"/>
    <w:link w:val="TextodebaloChar"/>
    <w:uiPriority w:val="99"/>
    <w:semiHidden/>
    <w:unhideWhenUsed/>
    <w:rsid w:val="0023277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3277C"/>
    <w:rPr>
      <w:rFonts w:ascii="Tahoma" w:hAnsi="Tahoma" w:cs="Tahoma"/>
      <w:sz w:val="16"/>
      <w:szCs w:val="16"/>
    </w:rPr>
  </w:style>
  <w:style w:type="character" w:styleId="MenoPendente">
    <w:name w:val="Unresolved Mention"/>
    <w:basedOn w:val="Fontepargpadro"/>
    <w:uiPriority w:val="99"/>
    <w:semiHidden/>
    <w:unhideWhenUsed/>
    <w:rsid w:val="004944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707038">
      <w:bodyDiv w:val="1"/>
      <w:marLeft w:val="0"/>
      <w:marRight w:val="0"/>
      <w:marTop w:val="0"/>
      <w:marBottom w:val="0"/>
      <w:divBdr>
        <w:top w:val="none" w:sz="0" w:space="0" w:color="auto"/>
        <w:left w:val="none" w:sz="0" w:space="0" w:color="auto"/>
        <w:bottom w:val="none" w:sz="0" w:space="0" w:color="auto"/>
        <w:right w:val="none" w:sz="0" w:space="0" w:color="auto"/>
      </w:divBdr>
    </w:div>
    <w:div w:id="1088309491">
      <w:bodyDiv w:val="1"/>
      <w:marLeft w:val="0"/>
      <w:marRight w:val="0"/>
      <w:marTop w:val="0"/>
      <w:marBottom w:val="0"/>
      <w:divBdr>
        <w:top w:val="none" w:sz="0" w:space="0" w:color="auto"/>
        <w:left w:val="none" w:sz="0" w:space="0" w:color="auto"/>
        <w:bottom w:val="none" w:sz="0" w:space="0" w:color="auto"/>
        <w:right w:val="none" w:sz="0" w:space="0" w:color="auto"/>
      </w:divBdr>
      <w:divsChild>
        <w:div w:id="425031054">
          <w:marLeft w:val="0"/>
          <w:marRight w:val="0"/>
          <w:marTop w:val="0"/>
          <w:marBottom w:val="750"/>
          <w:divBdr>
            <w:top w:val="none" w:sz="0" w:space="0" w:color="auto"/>
            <w:left w:val="none" w:sz="0" w:space="0" w:color="auto"/>
            <w:bottom w:val="none" w:sz="0" w:space="0" w:color="auto"/>
            <w:right w:val="none" w:sz="0" w:space="0" w:color="auto"/>
          </w:divBdr>
        </w:div>
        <w:div w:id="757024641">
          <w:marLeft w:val="-225"/>
          <w:marRight w:val="-225"/>
          <w:marTop w:val="0"/>
          <w:marBottom w:val="0"/>
          <w:divBdr>
            <w:top w:val="none" w:sz="0" w:space="0" w:color="auto"/>
            <w:left w:val="none" w:sz="0" w:space="0" w:color="auto"/>
            <w:bottom w:val="none" w:sz="0" w:space="0" w:color="auto"/>
            <w:right w:val="none" w:sz="0" w:space="0" w:color="auto"/>
          </w:divBdr>
          <w:divsChild>
            <w:div w:id="40711757">
              <w:marLeft w:val="0"/>
              <w:marRight w:val="0"/>
              <w:marTop w:val="0"/>
              <w:marBottom w:val="0"/>
              <w:divBdr>
                <w:top w:val="none" w:sz="0" w:space="0" w:color="auto"/>
                <w:left w:val="none" w:sz="0" w:space="0" w:color="auto"/>
                <w:bottom w:val="none" w:sz="0" w:space="0" w:color="auto"/>
                <w:right w:val="none" w:sz="0" w:space="0" w:color="auto"/>
              </w:divBdr>
              <w:divsChild>
                <w:div w:id="32501238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776025434">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13351337">
              <w:marLeft w:val="0"/>
              <w:marRight w:val="0"/>
              <w:marTop w:val="0"/>
              <w:marBottom w:val="0"/>
              <w:divBdr>
                <w:top w:val="none" w:sz="0" w:space="0" w:color="auto"/>
                <w:left w:val="none" w:sz="0" w:space="0" w:color="auto"/>
                <w:bottom w:val="none" w:sz="0" w:space="0" w:color="auto"/>
                <w:right w:val="none" w:sz="0" w:space="0" w:color="auto"/>
              </w:divBdr>
              <w:divsChild>
                <w:div w:id="866405748">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1114321659">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1994096495">
              <w:marLeft w:val="0"/>
              <w:marRight w:val="0"/>
              <w:marTop w:val="0"/>
              <w:marBottom w:val="0"/>
              <w:divBdr>
                <w:top w:val="none" w:sz="0" w:space="0" w:color="auto"/>
                <w:left w:val="none" w:sz="0" w:space="0" w:color="auto"/>
                <w:bottom w:val="none" w:sz="0" w:space="0" w:color="auto"/>
                <w:right w:val="none" w:sz="0" w:space="0" w:color="auto"/>
              </w:divBdr>
              <w:divsChild>
                <w:div w:id="1785809131">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083209081">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041321182">
              <w:marLeft w:val="0"/>
              <w:marRight w:val="0"/>
              <w:marTop w:val="0"/>
              <w:marBottom w:val="0"/>
              <w:divBdr>
                <w:top w:val="none" w:sz="0" w:space="0" w:color="auto"/>
                <w:left w:val="none" w:sz="0" w:space="0" w:color="auto"/>
                <w:bottom w:val="none" w:sz="0" w:space="0" w:color="auto"/>
                <w:right w:val="none" w:sz="0" w:space="0" w:color="auto"/>
              </w:divBdr>
              <w:divsChild>
                <w:div w:id="211971636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144469170">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carolinnebarcellosa@gmail.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redebrasilis.net/wpcontent/uploads/2025/01/ANAIS_VIHPG_ENG_Final_Retificado2.pdf" TargetMode="External"/><Relationship Id="rId4" Type="http://schemas.openxmlformats.org/officeDocument/2006/relationships/settings" Target="settings.xml"/><Relationship Id="rId9" Type="http://schemas.openxmlformats.org/officeDocument/2006/relationships/hyperlink" Target="https://cidades.ibge.gov.br/brasil/rj/panorama" TargetMode="Externa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BWVW825Yd8hanrml675V0oKpoKw==">AMUW2mX7CSw/xd7Pzz0mRTu79tuUhPOdInKpwio46KscQ/7dS/vS2G0nw1DT+AR4xsM58Hpq5yCUfQxm6YRntVHc0uPpottcUWGIo4ZI3h+uL5Z6Jenc888=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247</TotalTime>
  <Pages>8</Pages>
  <Words>2687</Words>
  <Characters>14513</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wludarski</dc:creator>
  <cp:keywords/>
  <cp:lastModifiedBy>Carolinne Barcellos de Azevedo</cp:lastModifiedBy>
  <cp:revision>6</cp:revision>
  <dcterms:created xsi:type="dcterms:W3CDTF">2025-02-07T00:59:00Z</dcterms:created>
  <dcterms:modified xsi:type="dcterms:W3CDTF">2025-05-15T22:11:00Z</dcterms:modified>
</cp:coreProperties>
</file>