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F0581" w14:textId="3DE7C4E2" w:rsidR="00D17C15" w:rsidRDefault="00A85854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Aspectos socioambientais e comportamentais relacionados à ocorrência e ao número de casos de dengue na pandemia</w:t>
      </w:r>
      <w:r w:rsidR="0040499C">
        <w:rPr>
          <w:rFonts w:ascii="Arial" w:eastAsia="Arial" w:hAnsi="Arial" w:cs="Arial"/>
          <w:b/>
          <w:sz w:val="24"/>
          <w:szCs w:val="24"/>
        </w:rPr>
        <w:t xml:space="preserve"> da COVID-19: Uma revisão rápida</w:t>
      </w:r>
    </w:p>
    <w:p w14:paraId="79731BB9" w14:textId="2E2277F2" w:rsidR="00D17C15" w:rsidRDefault="0040499C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 w:rsidRPr="0040499C">
        <w:rPr>
          <w:rFonts w:ascii="Arial" w:eastAsia="Arial" w:hAnsi="Arial" w:cs="Arial"/>
          <w:bCs/>
          <w:sz w:val="24"/>
          <w:szCs w:val="24"/>
        </w:rPr>
        <w:t>D</w:t>
      </w:r>
      <w:r>
        <w:rPr>
          <w:rFonts w:ascii="Arial" w:eastAsia="Arial" w:hAnsi="Arial" w:cs="Arial"/>
          <w:bCs/>
          <w:sz w:val="24"/>
          <w:szCs w:val="24"/>
        </w:rPr>
        <w:t xml:space="preserve">ébora Gaspar Soares, Universidade Federal Rural do Rio de Janeiro, </w:t>
      </w:r>
      <w:hyperlink r:id="rId8" w:history="1">
        <w:r w:rsidRPr="00A92CC6">
          <w:rPr>
            <w:rStyle w:val="Hyperlink"/>
            <w:rFonts w:ascii="Arial" w:eastAsia="Arial" w:hAnsi="Arial" w:cs="Arial"/>
            <w:bCs/>
            <w:sz w:val="24"/>
            <w:szCs w:val="24"/>
          </w:rPr>
          <w:t>deboragirassol@ufrrj.br</w:t>
        </w:r>
      </w:hyperlink>
      <w:r>
        <w:rPr>
          <w:rFonts w:ascii="Arial" w:eastAsia="Arial" w:hAnsi="Arial" w:cs="Arial"/>
          <w:bCs/>
          <w:sz w:val="24"/>
          <w:szCs w:val="24"/>
        </w:rPr>
        <w:t xml:space="preserve">. </w:t>
      </w:r>
      <w:proofErr w:type="spellStart"/>
      <w:r>
        <w:rPr>
          <w:rFonts w:ascii="Arial" w:eastAsia="Arial" w:hAnsi="Arial" w:cs="Arial"/>
          <w:bCs/>
          <w:sz w:val="24"/>
          <w:szCs w:val="24"/>
        </w:rPr>
        <w:t>Wederson</w:t>
      </w:r>
      <w:proofErr w:type="spellEnd"/>
      <w:r>
        <w:rPr>
          <w:rFonts w:ascii="Arial" w:eastAsia="Arial" w:hAnsi="Arial" w:cs="Arial"/>
          <w:bCs/>
          <w:sz w:val="24"/>
          <w:szCs w:val="24"/>
        </w:rPr>
        <w:t xml:space="preserve"> Fernandes Pereira, Fundação Oswaldo Cruz de Mato Grosso do Sul, </w:t>
      </w:r>
      <w:hyperlink r:id="rId9" w:history="1">
        <w:r w:rsidRPr="00A92CC6">
          <w:rPr>
            <w:rStyle w:val="Hyperlink"/>
            <w:rFonts w:ascii="Arial" w:eastAsia="Arial" w:hAnsi="Arial" w:cs="Arial"/>
            <w:bCs/>
            <w:sz w:val="24"/>
            <w:szCs w:val="24"/>
          </w:rPr>
          <w:t>fernadeswfp957@gmail.com</w:t>
        </w:r>
      </w:hyperlink>
      <w:r>
        <w:rPr>
          <w:rFonts w:ascii="Arial" w:eastAsia="Arial" w:hAnsi="Arial" w:cs="Arial"/>
          <w:bCs/>
          <w:sz w:val="24"/>
          <w:szCs w:val="24"/>
        </w:rPr>
        <w:t xml:space="preserve">. Ivan Paulo </w:t>
      </w:r>
      <w:proofErr w:type="spellStart"/>
      <w:r>
        <w:rPr>
          <w:rFonts w:ascii="Arial" w:eastAsia="Arial" w:hAnsi="Arial" w:cs="Arial"/>
          <w:bCs/>
          <w:sz w:val="24"/>
          <w:szCs w:val="24"/>
        </w:rPr>
        <w:t>Biano</w:t>
      </w:r>
      <w:proofErr w:type="spellEnd"/>
      <w:r>
        <w:rPr>
          <w:rFonts w:ascii="Arial" w:eastAsia="Arial" w:hAnsi="Arial" w:cs="Arial"/>
          <w:bCs/>
          <w:sz w:val="24"/>
          <w:szCs w:val="24"/>
        </w:rPr>
        <w:t xml:space="preserve"> da Silva, Universidade Federal Rural do Rio de Janeiro, ivanrural@gmail.com.</w:t>
      </w:r>
      <w:r w:rsidR="00C80F71">
        <w:pict w14:anchorId="6BDB3661">
          <v:rect id="_x0000_i1025" style="width:0;height:1.5pt" o:hralign="center" o:hrstd="t" o:hr="t" fillcolor="#a0a0a0" stroked="f"/>
        </w:pict>
      </w:r>
    </w:p>
    <w:p w14:paraId="4FFB7DC5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E14C841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2BE3A1D2" w14:textId="77777777" w:rsidR="0040499C" w:rsidRPr="0040499C" w:rsidRDefault="0040499C" w:rsidP="0040499C">
      <w:pPr>
        <w:jc w:val="both"/>
        <w:rPr>
          <w:rFonts w:ascii="Arial" w:hAnsi="Arial" w:cs="Arial"/>
          <w:sz w:val="24"/>
          <w:szCs w:val="24"/>
          <w:lang w:val="es-ES_tradnl"/>
        </w:rPr>
      </w:pPr>
      <w:r w:rsidRPr="0040499C">
        <w:rPr>
          <w:rFonts w:ascii="Arial" w:hAnsi="Arial" w:cs="Arial"/>
          <w:sz w:val="24"/>
          <w:szCs w:val="24"/>
        </w:rPr>
        <w:t>Esta Resposta Rápida discute os aspectos socioambientais e comportamentais que podem estar relacionados à ocorrência de dengue na pandemia da COVID-19 nos países do Sul Global. A conjuntura pandêmica de desigualdades que não evidenciou nada de novo, desvelou a ineficiência de saneamento ambiental dos países mais pobres. Nesse sentido, o objetivo desse trabalho foi investigar quais aspectos socioambientais e comportamentais que podem estar relacionados à ocorrência de dengue na pandemia da COVID-19. Essa busca destacou que não é suficiente a identificação de fonte, modo de propagação e o agente causador na cadeia de transmissão da dengue durante a pandemia. Uma vez que, haver a possibilidade da infecção concomitante entre a dengue (que é sazonal) e a COVID-19 em áreas endêmicas nos países do Sul Global, pode contribuir fortemente, para o alastramento da COVID-19 em virtude do aumento do tempo para conclusão de um diagnóstico.</w:t>
      </w:r>
    </w:p>
    <w:p w14:paraId="5F6B2126" w14:textId="77777777" w:rsidR="0040499C" w:rsidRDefault="0040499C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D95A3D4" w14:textId="36B08B78" w:rsidR="0040499C" w:rsidRPr="0040499C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Palavras-chave:</w:t>
      </w:r>
      <w:r>
        <w:rPr>
          <w:rFonts w:ascii="Arial" w:eastAsia="Arial" w:hAnsi="Arial" w:cs="Arial"/>
          <w:sz w:val="24"/>
          <w:szCs w:val="24"/>
        </w:rPr>
        <w:t xml:space="preserve"> Geografia; </w:t>
      </w:r>
      <w:r w:rsidR="0040499C" w:rsidRPr="0040499C">
        <w:rPr>
          <w:rFonts w:ascii="Arial" w:hAnsi="Arial" w:cs="Arial"/>
          <w:sz w:val="24"/>
          <w:szCs w:val="24"/>
        </w:rPr>
        <w:t>COVID-19; dengue; cartografia temática; vulnerabilidade social.</w:t>
      </w:r>
    </w:p>
    <w:p w14:paraId="1045C54E" w14:textId="77777777" w:rsidR="00D17C15" w:rsidRPr="00C65BB3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Abstract</w:t>
      </w:r>
    </w:p>
    <w:p w14:paraId="2A301CFD" w14:textId="77777777" w:rsidR="0040499C" w:rsidRPr="0040499C" w:rsidRDefault="0040499C" w:rsidP="0040499C">
      <w:pPr>
        <w:pStyle w:val="resumogaramond11"/>
        <w:rPr>
          <w:rFonts w:ascii="Arial" w:hAnsi="Arial"/>
          <w:sz w:val="24"/>
          <w:szCs w:val="24"/>
        </w:rPr>
      </w:pPr>
      <w:proofErr w:type="spellStart"/>
      <w:r w:rsidRPr="0040499C">
        <w:rPr>
          <w:rFonts w:ascii="Arial" w:hAnsi="Arial"/>
          <w:sz w:val="24"/>
          <w:szCs w:val="24"/>
        </w:rPr>
        <w:t>This</w:t>
      </w:r>
      <w:proofErr w:type="spellEnd"/>
      <w:r w:rsidRPr="0040499C">
        <w:rPr>
          <w:rFonts w:ascii="Arial" w:hAnsi="Arial"/>
          <w:sz w:val="24"/>
          <w:szCs w:val="24"/>
        </w:rPr>
        <w:t xml:space="preserve"> Rapid Response </w:t>
      </w:r>
      <w:proofErr w:type="spellStart"/>
      <w:r w:rsidRPr="0040499C">
        <w:rPr>
          <w:rFonts w:ascii="Arial" w:hAnsi="Arial"/>
          <w:sz w:val="24"/>
          <w:szCs w:val="24"/>
        </w:rPr>
        <w:t>discusses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socio-</w:t>
      </w:r>
      <w:proofErr w:type="spellStart"/>
      <w:r w:rsidRPr="0040499C">
        <w:rPr>
          <w:rFonts w:ascii="Arial" w:hAnsi="Arial"/>
          <w:sz w:val="24"/>
          <w:szCs w:val="24"/>
        </w:rPr>
        <w:t>environmental</w:t>
      </w:r>
      <w:proofErr w:type="spellEnd"/>
      <w:r w:rsidRPr="0040499C">
        <w:rPr>
          <w:rFonts w:ascii="Arial" w:hAnsi="Arial"/>
          <w:sz w:val="24"/>
          <w:szCs w:val="24"/>
        </w:rPr>
        <w:t xml:space="preserve"> and </w:t>
      </w:r>
      <w:proofErr w:type="spellStart"/>
      <w:r w:rsidRPr="0040499C">
        <w:rPr>
          <w:rFonts w:ascii="Arial" w:hAnsi="Arial"/>
          <w:sz w:val="24"/>
          <w:szCs w:val="24"/>
        </w:rPr>
        <w:t>behavioral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aspects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that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may</w:t>
      </w:r>
      <w:proofErr w:type="spellEnd"/>
      <w:r w:rsidRPr="0040499C">
        <w:rPr>
          <w:rFonts w:ascii="Arial" w:hAnsi="Arial"/>
          <w:sz w:val="24"/>
          <w:szCs w:val="24"/>
        </w:rPr>
        <w:t xml:space="preserve"> be </w:t>
      </w:r>
      <w:proofErr w:type="spellStart"/>
      <w:r w:rsidRPr="0040499C">
        <w:rPr>
          <w:rFonts w:ascii="Arial" w:hAnsi="Arial"/>
          <w:sz w:val="24"/>
          <w:szCs w:val="24"/>
        </w:rPr>
        <w:t>related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occurrence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dengue </w:t>
      </w:r>
      <w:proofErr w:type="spellStart"/>
      <w:r w:rsidRPr="0040499C">
        <w:rPr>
          <w:rFonts w:ascii="Arial" w:hAnsi="Arial"/>
          <w:sz w:val="24"/>
          <w:szCs w:val="24"/>
        </w:rPr>
        <w:t>fever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COVID-19 </w:t>
      </w:r>
      <w:proofErr w:type="spellStart"/>
      <w:r w:rsidRPr="0040499C">
        <w:rPr>
          <w:rFonts w:ascii="Arial" w:hAnsi="Arial"/>
          <w:sz w:val="24"/>
          <w:szCs w:val="24"/>
        </w:rPr>
        <w:t>pandemic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countries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Global South.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pandemic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conjuncture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inequalities</w:t>
      </w:r>
      <w:proofErr w:type="spellEnd"/>
      <w:r w:rsidRPr="0040499C">
        <w:rPr>
          <w:rFonts w:ascii="Arial" w:hAnsi="Arial"/>
          <w:sz w:val="24"/>
          <w:szCs w:val="24"/>
        </w:rPr>
        <w:t xml:space="preserve">, </w:t>
      </w:r>
      <w:proofErr w:type="spellStart"/>
      <w:r w:rsidRPr="0040499C">
        <w:rPr>
          <w:rFonts w:ascii="Arial" w:hAnsi="Arial"/>
          <w:sz w:val="24"/>
          <w:szCs w:val="24"/>
        </w:rPr>
        <w:t>which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did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not</w:t>
      </w:r>
      <w:proofErr w:type="spellEnd"/>
      <w:r w:rsidRPr="0040499C">
        <w:rPr>
          <w:rFonts w:ascii="Arial" w:hAnsi="Arial"/>
          <w:sz w:val="24"/>
          <w:szCs w:val="24"/>
        </w:rPr>
        <w:t xml:space="preserve"> show </w:t>
      </w:r>
      <w:proofErr w:type="spellStart"/>
      <w:r w:rsidRPr="0040499C">
        <w:rPr>
          <w:rFonts w:ascii="Arial" w:hAnsi="Arial"/>
          <w:sz w:val="24"/>
          <w:szCs w:val="24"/>
        </w:rPr>
        <w:t>anything</w:t>
      </w:r>
      <w:proofErr w:type="spellEnd"/>
      <w:r w:rsidRPr="0040499C">
        <w:rPr>
          <w:rFonts w:ascii="Arial" w:hAnsi="Arial"/>
          <w:sz w:val="24"/>
          <w:szCs w:val="24"/>
        </w:rPr>
        <w:t xml:space="preserve"> new, </w:t>
      </w:r>
      <w:proofErr w:type="spellStart"/>
      <w:r w:rsidRPr="0040499C">
        <w:rPr>
          <w:rFonts w:ascii="Arial" w:hAnsi="Arial"/>
          <w:sz w:val="24"/>
          <w:szCs w:val="24"/>
        </w:rPr>
        <w:t>revealed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inefficiency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environmental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sanitation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poorest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countries</w:t>
      </w:r>
      <w:proofErr w:type="spellEnd"/>
      <w:r w:rsidRPr="0040499C">
        <w:rPr>
          <w:rFonts w:ascii="Arial" w:hAnsi="Arial"/>
          <w:sz w:val="24"/>
          <w:szCs w:val="24"/>
        </w:rPr>
        <w:t xml:space="preserve">. In </w:t>
      </w:r>
      <w:proofErr w:type="spellStart"/>
      <w:r w:rsidRPr="0040499C">
        <w:rPr>
          <w:rFonts w:ascii="Arial" w:hAnsi="Arial"/>
          <w:sz w:val="24"/>
          <w:szCs w:val="24"/>
        </w:rPr>
        <w:t>this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sense</w:t>
      </w:r>
      <w:proofErr w:type="spellEnd"/>
      <w:r w:rsidRPr="0040499C">
        <w:rPr>
          <w:rFonts w:ascii="Arial" w:hAnsi="Arial"/>
          <w:sz w:val="24"/>
          <w:szCs w:val="24"/>
        </w:rPr>
        <w:t xml:space="preserve">,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objective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this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work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was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investigate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which</w:t>
      </w:r>
      <w:proofErr w:type="spellEnd"/>
      <w:r w:rsidRPr="0040499C">
        <w:rPr>
          <w:rFonts w:ascii="Arial" w:hAnsi="Arial"/>
          <w:sz w:val="24"/>
          <w:szCs w:val="24"/>
        </w:rPr>
        <w:t xml:space="preserve"> socio-</w:t>
      </w:r>
      <w:proofErr w:type="spellStart"/>
      <w:r w:rsidRPr="0040499C">
        <w:rPr>
          <w:rFonts w:ascii="Arial" w:hAnsi="Arial"/>
          <w:sz w:val="24"/>
          <w:szCs w:val="24"/>
        </w:rPr>
        <w:t>environmental</w:t>
      </w:r>
      <w:proofErr w:type="spellEnd"/>
      <w:r w:rsidRPr="0040499C">
        <w:rPr>
          <w:rFonts w:ascii="Arial" w:hAnsi="Arial"/>
          <w:sz w:val="24"/>
          <w:szCs w:val="24"/>
        </w:rPr>
        <w:t xml:space="preserve"> and </w:t>
      </w:r>
      <w:proofErr w:type="spellStart"/>
      <w:r w:rsidRPr="0040499C">
        <w:rPr>
          <w:rFonts w:ascii="Arial" w:hAnsi="Arial"/>
          <w:sz w:val="24"/>
          <w:szCs w:val="24"/>
        </w:rPr>
        <w:t>behavioral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aspects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may</w:t>
      </w:r>
      <w:proofErr w:type="spellEnd"/>
      <w:r w:rsidRPr="0040499C">
        <w:rPr>
          <w:rFonts w:ascii="Arial" w:hAnsi="Arial"/>
          <w:sz w:val="24"/>
          <w:szCs w:val="24"/>
        </w:rPr>
        <w:t xml:space="preserve"> be </w:t>
      </w:r>
      <w:proofErr w:type="spellStart"/>
      <w:r w:rsidRPr="0040499C">
        <w:rPr>
          <w:rFonts w:ascii="Arial" w:hAnsi="Arial"/>
          <w:sz w:val="24"/>
          <w:szCs w:val="24"/>
        </w:rPr>
        <w:t>related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occurrence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dengue in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COVID-19 </w:t>
      </w:r>
      <w:proofErr w:type="spellStart"/>
      <w:r w:rsidRPr="0040499C">
        <w:rPr>
          <w:rFonts w:ascii="Arial" w:hAnsi="Arial"/>
          <w:sz w:val="24"/>
          <w:szCs w:val="24"/>
        </w:rPr>
        <w:t>pandemic</w:t>
      </w:r>
      <w:proofErr w:type="spellEnd"/>
      <w:r w:rsidRPr="0040499C">
        <w:rPr>
          <w:rFonts w:ascii="Arial" w:hAnsi="Arial"/>
          <w:sz w:val="24"/>
          <w:szCs w:val="24"/>
        </w:rPr>
        <w:t xml:space="preserve">. </w:t>
      </w:r>
      <w:proofErr w:type="spellStart"/>
      <w:r w:rsidRPr="0040499C">
        <w:rPr>
          <w:rFonts w:ascii="Arial" w:hAnsi="Arial"/>
          <w:sz w:val="24"/>
          <w:szCs w:val="24"/>
        </w:rPr>
        <w:t>This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search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highlighted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that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not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enough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identify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source</w:t>
      </w:r>
      <w:proofErr w:type="spellEnd"/>
      <w:r w:rsidRPr="0040499C">
        <w:rPr>
          <w:rFonts w:ascii="Arial" w:hAnsi="Arial"/>
          <w:sz w:val="24"/>
          <w:szCs w:val="24"/>
        </w:rPr>
        <w:t xml:space="preserve">, </w:t>
      </w:r>
      <w:proofErr w:type="spellStart"/>
      <w:r w:rsidRPr="0040499C">
        <w:rPr>
          <w:rFonts w:ascii="Arial" w:hAnsi="Arial"/>
          <w:sz w:val="24"/>
          <w:szCs w:val="24"/>
        </w:rPr>
        <w:t>mode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propagation</w:t>
      </w:r>
      <w:proofErr w:type="spellEnd"/>
      <w:r w:rsidRPr="0040499C">
        <w:rPr>
          <w:rFonts w:ascii="Arial" w:hAnsi="Arial"/>
          <w:sz w:val="24"/>
          <w:szCs w:val="24"/>
        </w:rPr>
        <w:t xml:space="preserve">, and </w:t>
      </w:r>
      <w:proofErr w:type="spellStart"/>
      <w:r w:rsidRPr="0040499C">
        <w:rPr>
          <w:rFonts w:ascii="Arial" w:hAnsi="Arial"/>
          <w:sz w:val="24"/>
          <w:szCs w:val="24"/>
        </w:rPr>
        <w:t>causative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agent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chain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transmission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dengue </w:t>
      </w:r>
      <w:proofErr w:type="spellStart"/>
      <w:r w:rsidRPr="0040499C">
        <w:rPr>
          <w:rFonts w:ascii="Arial" w:hAnsi="Arial"/>
          <w:sz w:val="24"/>
          <w:szCs w:val="24"/>
        </w:rPr>
        <w:t>during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pandemic</w:t>
      </w:r>
      <w:proofErr w:type="spellEnd"/>
      <w:r w:rsidRPr="0040499C">
        <w:rPr>
          <w:rFonts w:ascii="Arial" w:hAnsi="Arial"/>
          <w:sz w:val="24"/>
          <w:szCs w:val="24"/>
        </w:rPr>
        <w:t xml:space="preserve">. </w:t>
      </w:r>
      <w:proofErr w:type="spellStart"/>
      <w:r w:rsidRPr="0040499C">
        <w:rPr>
          <w:rFonts w:ascii="Arial" w:hAnsi="Arial"/>
          <w:sz w:val="24"/>
          <w:szCs w:val="24"/>
        </w:rPr>
        <w:t>Since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possibility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concomitant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infection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between</w:t>
      </w:r>
      <w:proofErr w:type="spellEnd"/>
      <w:r w:rsidRPr="0040499C">
        <w:rPr>
          <w:rFonts w:ascii="Arial" w:hAnsi="Arial"/>
          <w:sz w:val="24"/>
          <w:szCs w:val="24"/>
        </w:rPr>
        <w:t xml:space="preserve"> dengue (</w:t>
      </w:r>
      <w:proofErr w:type="spellStart"/>
      <w:r w:rsidRPr="0040499C">
        <w:rPr>
          <w:rFonts w:ascii="Arial" w:hAnsi="Arial"/>
          <w:sz w:val="24"/>
          <w:szCs w:val="24"/>
        </w:rPr>
        <w:t>which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seasonal</w:t>
      </w:r>
      <w:proofErr w:type="spellEnd"/>
      <w:r w:rsidRPr="0040499C">
        <w:rPr>
          <w:rFonts w:ascii="Arial" w:hAnsi="Arial"/>
          <w:sz w:val="24"/>
          <w:szCs w:val="24"/>
        </w:rPr>
        <w:t xml:space="preserve">) and COVID-19 in </w:t>
      </w:r>
      <w:proofErr w:type="spellStart"/>
      <w:r w:rsidRPr="0040499C">
        <w:rPr>
          <w:rFonts w:ascii="Arial" w:hAnsi="Arial"/>
          <w:sz w:val="24"/>
          <w:szCs w:val="24"/>
        </w:rPr>
        <w:t>endemic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areas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countries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Global </w:t>
      </w:r>
      <w:r w:rsidRPr="0040499C">
        <w:rPr>
          <w:rFonts w:ascii="Arial" w:hAnsi="Arial"/>
          <w:sz w:val="24"/>
          <w:szCs w:val="24"/>
        </w:rPr>
        <w:lastRenderedPageBreak/>
        <w:t xml:space="preserve">South can </w:t>
      </w:r>
      <w:proofErr w:type="spellStart"/>
      <w:r w:rsidRPr="0040499C">
        <w:rPr>
          <w:rFonts w:ascii="Arial" w:hAnsi="Arial"/>
          <w:sz w:val="24"/>
          <w:szCs w:val="24"/>
        </w:rPr>
        <w:t>strongly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contribute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spread </w:t>
      </w:r>
      <w:proofErr w:type="spellStart"/>
      <w:r w:rsidRPr="0040499C">
        <w:rPr>
          <w:rFonts w:ascii="Arial" w:hAnsi="Arial"/>
          <w:sz w:val="24"/>
          <w:szCs w:val="24"/>
        </w:rPr>
        <w:t>of</w:t>
      </w:r>
      <w:proofErr w:type="spellEnd"/>
      <w:r w:rsidRPr="0040499C">
        <w:rPr>
          <w:rFonts w:ascii="Arial" w:hAnsi="Arial"/>
          <w:sz w:val="24"/>
          <w:szCs w:val="24"/>
        </w:rPr>
        <w:t xml:space="preserve"> COVID-19 </w:t>
      </w:r>
      <w:proofErr w:type="spellStart"/>
      <w:r w:rsidRPr="0040499C">
        <w:rPr>
          <w:rFonts w:ascii="Arial" w:hAnsi="Arial"/>
          <w:sz w:val="24"/>
          <w:szCs w:val="24"/>
        </w:rPr>
        <w:t>due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</w:t>
      </w:r>
      <w:proofErr w:type="spellStart"/>
      <w:r w:rsidRPr="0040499C">
        <w:rPr>
          <w:rFonts w:ascii="Arial" w:hAnsi="Arial"/>
          <w:sz w:val="24"/>
          <w:szCs w:val="24"/>
        </w:rPr>
        <w:t>increase</w:t>
      </w:r>
      <w:proofErr w:type="spellEnd"/>
      <w:r w:rsidRPr="0040499C">
        <w:rPr>
          <w:rFonts w:ascii="Arial" w:hAnsi="Arial"/>
          <w:sz w:val="24"/>
          <w:szCs w:val="24"/>
        </w:rPr>
        <w:t xml:space="preserve"> in </w:t>
      </w:r>
      <w:proofErr w:type="spellStart"/>
      <w:r w:rsidRPr="0040499C">
        <w:rPr>
          <w:rFonts w:ascii="Arial" w:hAnsi="Arial"/>
          <w:sz w:val="24"/>
          <w:szCs w:val="24"/>
        </w:rPr>
        <w:t>the</w:t>
      </w:r>
      <w:proofErr w:type="spellEnd"/>
      <w:r w:rsidRPr="0040499C">
        <w:rPr>
          <w:rFonts w:ascii="Arial" w:hAnsi="Arial"/>
          <w:sz w:val="24"/>
          <w:szCs w:val="24"/>
        </w:rPr>
        <w:t xml:space="preserve"> time </w:t>
      </w:r>
      <w:proofErr w:type="spellStart"/>
      <w:r w:rsidRPr="0040499C">
        <w:rPr>
          <w:rFonts w:ascii="Arial" w:hAnsi="Arial"/>
          <w:sz w:val="24"/>
          <w:szCs w:val="24"/>
        </w:rPr>
        <w:t>to</w:t>
      </w:r>
      <w:proofErr w:type="spellEnd"/>
      <w:r w:rsidRPr="0040499C">
        <w:rPr>
          <w:rFonts w:ascii="Arial" w:hAnsi="Arial"/>
          <w:sz w:val="24"/>
          <w:szCs w:val="24"/>
        </w:rPr>
        <w:t xml:space="preserve"> complete a diagnosis.</w:t>
      </w:r>
    </w:p>
    <w:p w14:paraId="5BFA3E2D" w14:textId="77777777" w:rsidR="0040499C" w:rsidRDefault="0040499C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</w:p>
    <w:p w14:paraId="02CBCB11" w14:textId="77E39B6A" w:rsidR="0040499C" w:rsidRPr="0040499C" w:rsidRDefault="00D17C15" w:rsidP="0040499C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Keywords:</w:t>
      </w:r>
      <w:r w:rsidRPr="00C65BB3">
        <w:rPr>
          <w:rFonts w:ascii="Arial" w:eastAsia="Arial" w:hAnsi="Arial" w:cs="Arial"/>
          <w:sz w:val="24"/>
          <w:szCs w:val="24"/>
          <w:lang w:val="en-US"/>
        </w:rPr>
        <w:t xml:space="preserve"> Geography; </w:t>
      </w:r>
      <w:r w:rsidR="0040499C" w:rsidRPr="0040499C">
        <w:rPr>
          <w:rFonts w:ascii="Arial" w:hAnsi="Arial" w:cs="Arial"/>
          <w:sz w:val="24"/>
          <w:szCs w:val="24"/>
        </w:rPr>
        <w:t xml:space="preserve">COVID-19; dengue; </w:t>
      </w:r>
      <w:proofErr w:type="spellStart"/>
      <w:r w:rsidR="0040499C" w:rsidRPr="0040499C">
        <w:rPr>
          <w:rFonts w:ascii="Arial" w:hAnsi="Arial" w:cs="Arial"/>
          <w:sz w:val="24"/>
          <w:szCs w:val="24"/>
        </w:rPr>
        <w:t>thematic</w:t>
      </w:r>
      <w:proofErr w:type="spellEnd"/>
      <w:r w:rsidR="0040499C" w:rsidRPr="004049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0499C" w:rsidRPr="0040499C">
        <w:rPr>
          <w:rFonts w:ascii="Arial" w:hAnsi="Arial" w:cs="Arial"/>
          <w:sz w:val="24"/>
          <w:szCs w:val="24"/>
        </w:rPr>
        <w:t>cartography</w:t>
      </w:r>
      <w:proofErr w:type="spellEnd"/>
      <w:r w:rsidR="0040499C" w:rsidRPr="0040499C">
        <w:rPr>
          <w:rFonts w:ascii="Arial" w:hAnsi="Arial" w:cs="Arial"/>
          <w:sz w:val="24"/>
          <w:szCs w:val="24"/>
        </w:rPr>
        <w:t xml:space="preserve">; social </w:t>
      </w:r>
      <w:proofErr w:type="spellStart"/>
      <w:r w:rsidR="0040499C" w:rsidRPr="0040499C">
        <w:rPr>
          <w:rFonts w:ascii="Arial" w:hAnsi="Arial" w:cs="Arial"/>
          <w:sz w:val="24"/>
          <w:szCs w:val="24"/>
        </w:rPr>
        <w:t>vulnerability</w:t>
      </w:r>
      <w:proofErr w:type="spellEnd"/>
      <w:r w:rsidR="0040499C" w:rsidRPr="0040499C">
        <w:rPr>
          <w:rFonts w:ascii="Arial" w:hAnsi="Arial" w:cs="Arial"/>
          <w:sz w:val="24"/>
          <w:szCs w:val="24"/>
        </w:rPr>
        <w:t>.</w:t>
      </w:r>
    </w:p>
    <w:p w14:paraId="3FFA5CED" w14:textId="77777777" w:rsidR="0040499C" w:rsidRPr="00C65BB3" w:rsidRDefault="0040499C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  <w:lang w:val="en-US"/>
        </w:rPr>
      </w:pPr>
    </w:p>
    <w:p w14:paraId="69D9EA4B" w14:textId="77777777" w:rsidR="00D17C15" w:rsidRDefault="00C80F71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pict w14:anchorId="53C20772">
          <v:rect id="_x0000_i1026" style="width:0;height:1.5pt" o:hralign="center" o:hrstd="t" o:hr="t" fillcolor="#a0a0a0" stroked="f"/>
        </w:pict>
      </w:r>
    </w:p>
    <w:p w14:paraId="67FE3375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0" w:name="_ozfxted4ubl5" w:colFirst="0" w:colLast="0"/>
      <w:bookmarkEnd w:id="0"/>
      <w:r>
        <w:rPr>
          <w:rFonts w:ascii="Arial" w:eastAsia="Arial" w:hAnsi="Arial" w:cs="Arial"/>
          <w:sz w:val="24"/>
          <w:szCs w:val="24"/>
        </w:rPr>
        <w:t xml:space="preserve">1. </w:t>
      </w:r>
      <w:r w:rsidR="00C71E09">
        <w:rPr>
          <w:rFonts w:ascii="Arial" w:eastAsia="Arial" w:hAnsi="Arial" w:cs="Arial"/>
          <w:sz w:val="24"/>
          <w:szCs w:val="24"/>
        </w:rPr>
        <w:t>Introdução</w:t>
      </w:r>
    </w:p>
    <w:p w14:paraId="10335FD8" w14:textId="77777777" w:rsidR="00FA27E1" w:rsidRDefault="00FA27E1" w:rsidP="00FA27E1">
      <w:pPr>
        <w:spacing w:before="240" w:after="240"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FA27E1">
        <w:rPr>
          <w:rFonts w:ascii="Arial" w:hAnsi="Arial" w:cs="Arial"/>
          <w:sz w:val="24"/>
          <w:szCs w:val="24"/>
        </w:rPr>
        <w:t xml:space="preserve">O exordial momento em que o Aedes aegypti foi descrito sobreveio no Egito por Linnaeus, em 1762 observando-se a presença do mosquito nos trópicos e </w:t>
      </w:r>
      <w:proofErr w:type="spellStart"/>
      <w:r w:rsidRPr="00FA27E1">
        <w:rPr>
          <w:rFonts w:ascii="Arial" w:hAnsi="Arial" w:cs="Arial"/>
          <w:sz w:val="24"/>
          <w:szCs w:val="24"/>
        </w:rPr>
        <w:t>subtrópicos</w:t>
      </w:r>
      <w:proofErr w:type="spellEnd"/>
      <w:r w:rsidRPr="00FA27E1">
        <w:rPr>
          <w:rFonts w:ascii="Arial" w:hAnsi="Arial" w:cs="Arial"/>
          <w:sz w:val="24"/>
          <w:szCs w:val="24"/>
        </w:rPr>
        <w:t xml:space="preserve"> – em praticamente todo o continente americano, no Sudeste da Ásia, e em toda a Índia. De acordo com Zara et al (2016, p.392) suspeita-se que a introdução dessa espécie no Brasil tenha ocorrido no período colonial, entre os séculos XVI e XIX, durante o comércio de escravos. Por consequência, com os desmantelamentos das ambiências e arrasamentos dos ecossistemas, em função das pressões antrópicas, uma parte da população silvestre sofreu um processo seletivo que favoreceu a disseminação e sobrevivência da espécie em principalmente em áreas urbanas e semiurbanas. </w:t>
      </w:r>
    </w:p>
    <w:p w14:paraId="55C7B3B8" w14:textId="77777777" w:rsidR="00427F33" w:rsidRDefault="00FA27E1" w:rsidP="00427F33">
      <w:pPr>
        <w:pStyle w:val="corpogaramond2colunas"/>
        <w:spacing w:line="36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E</w:t>
      </w:r>
      <w:r w:rsidRPr="00FA27E1">
        <w:rPr>
          <w:rFonts w:ascii="Arial" w:hAnsi="Arial"/>
          <w:sz w:val="24"/>
          <w:szCs w:val="24"/>
        </w:rPr>
        <w:t xml:space="preserve">m consideração a magnitude e relevância do problema da cadeia de transmissão da dengue. Esse trabalho destaca que a dengue é uma arbovirose que no Brasil e na América Latina, no tempo presente, demonstra ser um relevante problema de saúde pública. Tendo como propósito investigar informações a fim de encontrar medidas para a redução da cadeia de transmissão da dengue. Convém destacar que a patogenia da dengue é determinada por aspectos individuais, como idade, presença de comorbidades e perfil imunogenético, associados a características do agente patógeno e aspectos socioambientais (WORLD HEALTH ORGANIZATION, 2009). Nesse entendimento, torna-se significativo a análise de indicadores de saúde, demográficos e ambientais para essa investigação. Faz-se necessário porque são dados estatísticos muito relevantes que representam ou resumem alguns aspectos do estado do meio ambiente, dos recursos naturais e de atividades humanas </w:t>
      </w:r>
      <w:r w:rsidRPr="00FA27E1">
        <w:rPr>
          <w:rFonts w:ascii="Arial" w:hAnsi="Arial"/>
          <w:sz w:val="24"/>
          <w:szCs w:val="24"/>
        </w:rPr>
        <w:lastRenderedPageBreak/>
        <w:t xml:space="preserve">relacionadas. Possuem o objetivo de estabelecer metas e verificar a eficiência e eficácia de ações. Permitem identificar danos e ameaças à saúde humana e aos ecossistemas. </w:t>
      </w:r>
    </w:p>
    <w:p w14:paraId="7175353C" w14:textId="1FF6AFEC" w:rsidR="00FA27E1" w:rsidRPr="00FA27E1" w:rsidRDefault="00FA27E1" w:rsidP="00427F33">
      <w:pPr>
        <w:pStyle w:val="corpogaramond2colunas"/>
        <w:spacing w:line="360" w:lineRule="auto"/>
        <w:rPr>
          <w:rFonts w:ascii="Arial" w:hAnsi="Arial"/>
          <w:sz w:val="24"/>
          <w:szCs w:val="24"/>
          <w:lang w:val="pt-BR"/>
        </w:rPr>
      </w:pPr>
      <w:r w:rsidRPr="00FA27E1">
        <w:rPr>
          <w:rFonts w:ascii="Arial" w:hAnsi="Arial"/>
          <w:sz w:val="24"/>
          <w:szCs w:val="24"/>
        </w:rPr>
        <w:t>Essa resposta rápida tem como objetivo mapear e indicar as melhores evidências e informações disponíveis a fim de encontrar medidas para a redução da cadeia de transmissão da dengue. Em outros termos, investigar quais aspectos socioambientais e comportamentais que podem estar relacionados, sendo particularmente o saneamento básico, abastecimento de água e coleta de lixo que são insuficientes ou inadequados, à ocorrência de dengue na pandemia da COVID-19.</w:t>
      </w:r>
    </w:p>
    <w:p w14:paraId="38883EED" w14:textId="77777777" w:rsidR="00FA27E1" w:rsidRPr="00FA27E1" w:rsidRDefault="00FA27E1" w:rsidP="00FA27E1">
      <w:pPr>
        <w:pStyle w:val="corpogaramond2colunas"/>
        <w:spacing w:line="360" w:lineRule="auto"/>
        <w:rPr>
          <w:rFonts w:ascii="Arial" w:hAnsi="Arial"/>
          <w:sz w:val="24"/>
          <w:szCs w:val="24"/>
          <w:lang w:val="pt-BR"/>
        </w:rPr>
      </w:pPr>
    </w:p>
    <w:p w14:paraId="1EFB9E49" w14:textId="77777777" w:rsidR="00FA27E1" w:rsidRPr="00FA27E1" w:rsidRDefault="00FA27E1" w:rsidP="00D17C15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5B1716A9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1" w:name="_pcn4zwrzdkyd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2. </w:t>
      </w:r>
      <w:r w:rsidR="00C71E09">
        <w:rPr>
          <w:rFonts w:ascii="Arial" w:eastAsia="Arial" w:hAnsi="Arial" w:cs="Arial"/>
          <w:sz w:val="24"/>
          <w:szCs w:val="24"/>
        </w:rPr>
        <w:t>Metodologia</w:t>
      </w:r>
    </w:p>
    <w:p w14:paraId="50F1D786" w14:textId="6DA99566" w:rsidR="00FA27E1" w:rsidRPr="00FA27E1" w:rsidRDefault="00FA27E1" w:rsidP="00FA27E1">
      <w:pPr>
        <w:spacing w:before="240" w:after="240"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FA27E1">
        <w:rPr>
          <w:rFonts w:ascii="Arial" w:hAnsi="Arial" w:cs="Arial"/>
          <w:sz w:val="24"/>
          <w:szCs w:val="24"/>
        </w:rPr>
        <w:t>oi realizada uma revisão rápida (Brasil,2019). Foi feito o seguinte registro de protocolo DOI 10.17605/OSF.IO/NW2KS dessa revisão rápida.</w:t>
      </w:r>
    </w:p>
    <w:p w14:paraId="54C97DF4" w14:textId="77777777" w:rsidR="00FA27E1" w:rsidRDefault="00FA27E1" w:rsidP="00C71E0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6D955570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2" w:name="_c1wrm1ysj9z6" w:colFirst="0" w:colLast="0"/>
      <w:bookmarkEnd w:id="2"/>
      <w:r>
        <w:rPr>
          <w:rFonts w:ascii="Arial" w:eastAsia="Arial" w:hAnsi="Arial" w:cs="Arial"/>
          <w:sz w:val="24"/>
          <w:szCs w:val="24"/>
        </w:rPr>
        <w:t xml:space="preserve">3. </w:t>
      </w:r>
      <w:r w:rsidR="00C71E09">
        <w:rPr>
          <w:rFonts w:ascii="Arial" w:eastAsia="Arial" w:hAnsi="Arial" w:cs="Arial"/>
          <w:sz w:val="24"/>
          <w:szCs w:val="24"/>
        </w:rPr>
        <w:t>Resultados e Discussão</w:t>
      </w:r>
    </w:p>
    <w:p w14:paraId="7FD15995" w14:textId="77777777" w:rsidR="00FA27E1" w:rsidRPr="00427F33" w:rsidRDefault="00FA27E1" w:rsidP="00427F33">
      <w:pPr>
        <w:pStyle w:val="corpogaramond2colunas"/>
        <w:spacing w:line="360" w:lineRule="auto"/>
        <w:rPr>
          <w:rFonts w:ascii="Arial" w:eastAsia="Times New Roman" w:hAnsi="Arial"/>
          <w:sz w:val="24"/>
          <w:szCs w:val="24"/>
        </w:rPr>
      </w:pPr>
      <w:r w:rsidRPr="00427F33">
        <w:rPr>
          <w:rFonts w:ascii="Arial" w:eastAsia="Times New Roman" w:hAnsi="Arial"/>
          <w:sz w:val="24"/>
          <w:szCs w:val="24"/>
        </w:rPr>
        <w:t xml:space="preserve">13 RS foram incluídas nesta revisão rápida que abordaram aspectos de combate à dengue. </w:t>
      </w:r>
    </w:p>
    <w:p w14:paraId="1D66A417" w14:textId="77777777" w:rsidR="00FA27E1" w:rsidRPr="00427F33" w:rsidRDefault="00FA27E1" w:rsidP="00427F33">
      <w:pPr>
        <w:pStyle w:val="corpogaramond2colunas"/>
        <w:spacing w:line="360" w:lineRule="auto"/>
        <w:rPr>
          <w:rFonts w:ascii="Arial" w:eastAsia="Times New Roman" w:hAnsi="Arial"/>
          <w:sz w:val="24"/>
        </w:rPr>
      </w:pPr>
      <w:r w:rsidRPr="00427F33">
        <w:rPr>
          <w:rFonts w:ascii="Arial" w:eastAsia="Times New Roman" w:hAnsi="Arial"/>
          <w:sz w:val="24"/>
        </w:rPr>
        <w:t xml:space="preserve">Os estudos primários incluídos nas RS foram conduzidos principalmente nos EUA (38,46%) (SARKAR, 2021; TSHETEN, 2021; </w:t>
      </w:r>
      <w:r w:rsidRPr="00427F33">
        <w:rPr>
          <w:rFonts w:ascii="Arial" w:eastAsia="Times New Roman" w:hAnsi="Arial"/>
          <w:color w:val="000000"/>
          <w:sz w:val="24"/>
        </w:rPr>
        <w:t>EL-QUSHAYRI, 2022; RAAFAT, 2021; JUNEAU</w:t>
      </w:r>
      <w:r w:rsidRPr="00427F33">
        <w:rPr>
          <w:rFonts w:ascii="Arial" w:eastAsia="Times New Roman" w:hAnsi="Arial"/>
          <w:sz w:val="24"/>
        </w:rPr>
        <w:t xml:space="preserve">, 2022), Amsterdã (23,08%) (LEÓN-FIGUEROA, 2022; LEIFELS, 2021; THAKUR, 2023), Brasil (15,38%) (MILBY, 2020; CRUZ NETO, 2022), Reino Unido (15,38%) (WU, 2022; DALUGAMA, 2023). </w:t>
      </w:r>
    </w:p>
    <w:p w14:paraId="6131B09D" w14:textId="77777777" w:rsidR="00FA27E1" w:rsidRPr="00427F33" w:rsidRDefault="00FA27E1" w:rsidP="00427F33">
      <w:pPr>
        <w:pStyle w:val="corpogaramond2colunas"/>
        <w:spacing w:line="360" w:lineRule="auto"/>
        <w:rPr>
          <w:rFonts w:ascii="Arial" w:eastAsia="Times New Roman" w:hAnsi="Arial"/>
          <w:sz w:val="24"/>
        </w:rPr>
      </w:pPr>
      <w:r w:rsidRPr="00427F33">
        <w:rPr>
          <w:rFonts w:ascii="Arial" w:eastAsia="Times New Roman" w:hAnsi="Arial"/>
          <w:sz w:val="24"/>
        </w:rPr>
        <w:t>As Revisões Sistemáticas revelam uma confluência de pesquisas sobre coinfecção entre dengue e COVID-19 no Brasil (</w:t>
      </w:r>
      <w:bookmarkStart w:id="3" w:name="_Hlk146461818"/>
      <w:r w:rsidRPr="00427F33">
        <w:rPr>
          <w:rFonts w:ascii="Arial" w:hAnsi="Arial"/>
          <w:color w:val="000000"/>
          <w:sz w:val="24"/>
        </w:rPr>
        <w:t>CRUZ NETO</w:t>
      </w:r>
      <w:r w:rsidRPr="00427F33">
        <w:rPr>
          <w:rFonts w:ascii="Arial" w:eastAsia="Times New Roman" w:hAnsi="Arial"/>
          <w:sz w:val="24"/>
        </w:rPr>
        <w:t>, 2022</w:t>
      </w:r>
      <w:bookmarkEnd w:id="3"/>
      <w:r w:rsidRPr="00427F33">
        <w:rPr>
          <w:rFonts w:ascii="Arial" w:eastAsia="Times New Roman" w:hAnsi="Arial"/>
          <w:sz w:val="24"/>
        </w:rPr>
        <w:t xml:space="preserve">; </w:t>
      </w:r>
      <w:r w:rsidRPr="00427F33">
        <w:rPr>
          <w:rFonts w:ascii="Arial" w:hAnsi="Arial"/>
          <w:color w:val="000000"/>
          <w:sz w:val="24"/>
        </w:rPr>
        <w:t>THAKUR</w:t>
      </w:r>
      <w:r w:rsidRPr="00427F33">
        <w:rPr>
          <w:rFonts w:ascii="Arial" w:eastAsia="Times New Roman" w:hAnsi="Arial"/>
          <w:sz w:val="24"/>
        </w:rPr>
        <w:t xml:space="preserve">, 2023; </w:t>
      </w:r>
      <w:r w:rsidRPr="00427F33">
        <w:rPr>
          <w:rFonts w:ascii="Arial" w:hAnsi="Arial"/>
          <w:color w:val="000000"/>
          <w:sz w:val="24"/>
        </w:rPr>
        <w:t>DALUGAMA</w:t>
      </w:r>
      <w:r w:rsidRPr="00427F33">
        <w:rPr>
          <w:rFonts w:ascii="Arial" w:eastAsia="Times New Roman" w:hAnsi="Arial"/>
          <w:sz w:val="24"/>
        </w:rPr>
        <w:t xml:space="preserve">, 2023; </w:t>
      </w:r>
      <w:r w:rsidRPr="00427F33">
        <w:rPr>
          <w:rFonts w:ascii="Arial" w:hAnsi="Arial"/>
          <w:color w:val="000000"/>
          <w:sz w:val="24"/>
        </w:rPr>
        <w:t>LEÓN-FIGUEROA</w:t>
      </w:r>
      <w:r w:rsidRPr="00427F33">
        <w:rPr>
          <w:rFonts w:ascii="Arial" w:eastAsia="Times New Roman" w:hAnsi="Arial"/>
          <w:sz w:val="24"/>
        </w:rPr>
        <w:t xml:space="preserve">, 2022; </w:t>
      </w:r>
      <w:bookmarkStart w:id="4" w:name="_Hlk146461850"/>
      <w:r w:rsidRPr="00427F33">
        <w:rPr>
          <w:rFonts w:ascii="Arial" w:eastAsia="Times New Roman" w:hAnsi="Arial"/>
          <w:sz w:val="24"/>
        </w:rPr>
        <w:t>SARKAR, 2021</w:t>
      </w:r>
      <w:bookmarkEnd w:id="4"/>
      <w:r w:rsidRPr="00427F33">
        <w:rPr>
          <w:rFonts w:ascii="Arial" w:eastAsia="Times New Roman" w:hAnsi="Arial"/>
          <w:sz w:val="24"/>
        </w:rPr>
        <w:t xml:space="preserve">; WU,2022; </w:t>
      </w:r>
      <w:bookmarkStart w:id="5" w:name="_Hlk146461911"/>
      <w:r w:rsidRPr="00427F33">
        <w:rPr>
          <w:rFonts w:ascii="Arial" w:eastAsia="Times New Roman" w:hAnsi="Arial"/>
          <w:sz w:val="24"/>
        </w:rPr>
        <w:t>TSHETEN, 2021</w:t>
      </w:r>
      <w:bookmarkEnd w:id="5"/>
      <w:r w:rsidRPr="00427F33">
        <w:rPr>
          <w:rFonts w:ascii="Arial" w:eastAsia="Times New Roman" w:hAnsi="Arial"/>
          <w:sz w:val="24"/>
        </w:rPr>
        <w:t xml:space="preserve">; </w:t>
      </w:r>
      <w:r w:rsidRPr="00427F33">
        <w:rPr>
          <w:rFonts w:ascii="Arial" w:hAnsi="Arial"/>
          <w:color w:val="000000"/>
          <w:sz w:val="24"/>
        </w:rPr>
        <w:t>EL-QUSHAYRI</w:t>
      </w:r>
      <w:r w:rsidRPr="00427F33">
        <w:rPr>
          <w:rFonts w:ascii="Arial" w:eastAsia="Times New Roman" w:hAnsi="Arial"/>
          <w:sz w:val="24"/>
        </w:rPr>
        <w:t xml:space="preserve">, 2022; MILBY, 2020), bem como alta ocorrência de investigações na Argentina, Indonésia,  Singapura  e Maldivas, e de forma média-alta </w:t>
      </w:r>
      <w:r w:rsidRPr="00427F33">
        <w:rPr>
          <w:rFonts w:ascii="Arial" w:eastAsia="Times New Roman" w:hAnsi="Arial"/>
          <w:sz w:val="24"/>
        </w:rPr>
        <w:lastRenderedPageBreak/>
        <w:t>na França, México, e Índia (</w:t>
      </w:r>
      <w:r w:rsidRPr="00427F33">
        <w:rPr>
          <w:rFonts w:ascii="Arial" w:hAnsi="Arial"/>
          <w:color w:val="000000"/>
          <w:sz w:val="24"/>
        </w:rPr>
        <w:t>CRUZ NETO</w:t>
      </w:r>
      <w:r w:rsidRPr="00427F33">
        <w:rPr>
          <w:rFonts w:ascii="Arial" w:eastAsia="Times New Roman" w:hAnsi="Arial"/>
          <w:sz w:val="24"/>
        </w:rPr>
        <w:t xml:space="preserve">, 2022; SARKAR, 2021; TSHETEN, 2021; </w:t>
      </w:r>
      <w:r w:rsidRPr="00427F33">
        <w:rPr>
          <w:rFonts w:ascii="Arial" w:hAnsi="Arial"/>
          <w:color w:val="000000"/>
          <w:sz w:val="24"/>
        </w:rPr>
        <w:t>EL-QUSHAYRI, 2022; DALUGAMA</w:t>
      </w:r>
      <w:r w:rsidRPr="00427F33">
        <w:rPr>
          <w:rFonts w:ascii="Arial" w:eastAsia="Times New Roman" w:hAnsi="Arial"/>
          <w:sz w:val="24"/>
        </w:rPr>
        <w:t xml:space="preserve">, 2023; WU,2022; </w:t>
      </w:r>
      <w:r w:rsidRPr="00427F33">
        <w:rPr>
          <w:rFonts w:ascii="Arial" w:hAnsi="Arial"/>
          <w:color w:val="000000"/>
          <w:sz w:val="24"/>
        </w:rPr>
        <w:t>LEÓN-FIGUEROA</w:t>
      </w:r>
      <w:r w:rsidRPr="00427F33">
        <w:rPr>
          <w:rFonts w:ascii="Arial" w:eastAsia="Times New Roman" w:hAnsi="Arial"/>
          <w:sz w:val="24"/>
        </w:rPr>
        <w:t xml:space="preserve">, 2022; </w:t>
      </w:r>
      <w:r w:rsidRPr="00427F33">
        <w:rPr>
          <w:rFonts w:ascii="Arial" w:hAnsi="Arial"/>
          <w:color w:val="000000"/>
          <w:sz w:val="24"/>
        </w:rPr>
        <w:t>THAKUR</w:t>
      </w:r>
      <w:r w:rsidRPr="00427F33">
        <w:rPr>
          <w:rFonts w:ascii="Arial" w:eastAsia="Times New Roman" w:hAnsi="Arial"/>
          <w:sz w:val="24"/>
        </w:rPr>
        <w:t xml:space="preserve">, 2023); sobressaindo as revisões que descreveram  as coinfecções em detrimento da escassez tanto de prognósticos clínicos sobre a coinfecção </w:t>
      </w:r>
      <w:r w:rsidRPr="00427F33">
        <w:rPr>
          <w:rFonts w:ascii="Arial" w:hAnsi="Arial"/>
          <w:sz w:val="24"/>
        </w:rPr>
        <w:t>(</w:t>
      </w:r>
      <w:r w:rsidRPr="00427F33">
        <w:rPr>
          <w:rFonts w:ascii="Arial" w:eastAsia="Times New Roman" w:hAnsi="Arial"/>
          <w:sz w:val="24"/>
        </w:rPr>
        <w:t>MILBY, 2020; SARKAR, 2021</w:t>
      </w:r>
      <w:r w:rsidRPr="00427F33">
        <w:rPr>
          <w:rFonts w:ascii="Arial" w:hAnsi="Arial"/>
          <w:sz w:val="24"/>
        </w:rPr>
        <w:t>), quanto de controle epidemiológico (</w:t>
      </w:r>
      <w:r w:rsidRPr="00427F33">
        <w:rPr>
          <w:rFonts w:ascii="Arial" w:hAnsi="Arial"/>
          <w:color w:val="000000"/>
          <w:sz w:val="24"/>
        </w:rPr>
        <w:t xml:space="preserve">LEIFELS, 2021; </w:t>
      </w:r>
      <w:r w:rsidRPr="00427F33">
        <w:rPr>
          <w:rFonts w:ascii="Arial" w:hAnsi="Arial"/>
          <w:sz w:val="24"/>
        </w:rPr>
        <w:t>RAAFAT</w:t>
      </w:r>
      <w:r w:rsidRPr="00427F33">
        <w:rPr>
          <w:rFonts w:ascii="Arial" w:eastAsia="Times New Roman" w:hAnsi="Arial"/>
          <w:sz w:val="24"/>
        </w:rPr>
        <w:t>, 2021).  Para o contexto do Brasil, apresenta-se um maior receio com os casos de dengue e a coinfecção por COVID-19,  sobretudo pela  vulnerabilidade  dos  grupos  de  risco,  onde  a obscenidade da conjuntura endêmica de dengue correlaciona-se a miséria, e a fome dessas pessoas negligenciadas (</w:t>
      </w:r>
      <w:r w:rsidRPr="00427F33">
        <w:rPr>
          <w:rFonts w:ascii="Arial" w:hAnsi="Arial"/>
          <w:color w:val="000000"/>
          <w:sz w:val="24"/>
        </w:rPr>
        <w:t>CRUZ NETO</w:t>
      </w:r>
      <w:r w:rsidRPr="00427F33">
        <w:rPr>
          <w:rFonts w:ascii="Arial" w:eastAsia="Times New Roman" w:hAnsi="Arial"/>
          <w:sz w:val="24"/>
        </w:rPr>
        <w:t xml:space="preserve">, 2022; </w:t>
      </w:r>
      <w:r w:rsidRPr="00427F33">
        <w:rPr>
          <w:rFonts w:ascii="Arial" w:hAnsi="Arial"/>
          <w:color w:val="000000"/>
          <w:sz w:val="24"/>
        </w:rPr>
        <w:t>THAKUR</w:t>
      </w:r>
      <w:r w:rsidRPr="00427F33">
        <w:rPr>
          <w:rFonts w:ascii="Arial" w:eastAsia="Times New Roman" w:hAnsi="Arial"/>
          <w:sz w:val="24"/>
        </w:rPr>
        <w:t xml:space="preserve">, 2023; </w:t>
      </w:r>
      <w:r w:rsidRPr="00427F33">
        <w:rPr>
          <w:rFonts w:ascii="Arial" w:hAnsi="Arial"/>
          <w:color w:val="000000"/>
          <w:sz w:val="24"/>
        </w:rPr>
        <w:t>DALUGAMA</w:t>
      </w:r>
      <w:r w:rsidRPr="00427F33">
        <w:rPr>
          <w:rFonts w:ascii="Arial" w:eastAsia="Times New Roman" w:hAnsi="Arial"/>
          <w:sz w:val="24"/>
        </w:rPr>
        <w:t xml:space="preserve">, 2023; </w:t>
      </w:r>
      <w:r w:rsidRPr="00427F33">
        <w:rPr>
          <w:rFonts w:ascii="Arial" w:hAnsi="Arial"/>
          <w:color w:val="000000"/>
          <w:sz w:val="24"/>
        </w:rPr>
        <w:t>LEÓN-FIGUEROA</w:t>
      </w:r>
      <w:r w:rsidRPr="00427F33">
        <w:rPr>
          <w:rFonts w:ascii="Arial" w:eastAsia="Times New Roman" w:hAnsi="Arial"/>
          <w:sz w:val="24"/>
        </w:rPr>
        <w:t xml:space="preserve">, 2022; SARKAR, 2021; WU,2022; TSHETEN, 2021; </w:t>
      </w:r>
      <w:r w:rsidRPr="00427F33">
        <w:rPr>
          <w:rFonts w:ascii="Arial" w:hAnsi="Arial"/>
          <w:color w:val="000000"/>
          <w:sz w:val="24"/>
        </w:rPr>
        <w:t>EL-QUSHAYRI</w:t>
      </w:r>
      <w:r w:rsidRPr="00427F33">
        <w:rPr>
          <w:rFonts w:ascii="Arial" w:eastAsia="Times New Roman" w:hAnsi="Arial"/>
          <w:sz w:val="24"/>
        </w:rPr>
        <w:t>, 2022; MILBY, 2020) (Figura 2).</w:t>
      </w:r>
    </w:p>
    <w:p w14:paraId="4A5159B7" w14:textId="77777777" w:rsidR="00FA27E1" w:rsidRPr="00FA27E1" w:rsidRDefault="00FA27E1" w:rsidP="00FA27E1">
      <w:pPr>
        <w:jc w:val="both"/>
        <w:rPr>
          <w:rFonts w:ascii="Arial Narrow" w:hAnsi="Arial Narrow"/>
        </w:rPr>
      </w:pPr>
    </w:p>
    <w:p w14:paraId="2DEBA3CA" w14:textId="77777777" w:rsidR="00FA27E1" w:rsidRPr="00FA27E1" w:rsidRDefault="00FA27E1" w:rsidP="00FA27E1">
      <w:pPr>
        <w:jc w:val="center"/>
        <w:rPr>
          <w:rFonts w:ascii="Arial Narrow" w:hAnsi="Arial Narrow"/>
        </w:rPr>
      </w:pPr>
      <w:r w:rsidRPr="00FA27E1">
        <w:rPr>
          <w:rFonts w:ascii="Arial Narrow" w:hAnsi="Arial Narrow"/>
          <w:b/>
          <w:bCs/>
        </w:rPr>
        <w:t>Figura 2:</w:t>
      </w:r>
      <w:r w:rsidRPr="00FA27E1">
        <w:rPr>
          <w:rFonts w:ascii="Arial Narrow" w:hAnsi="Arial Narrow"/>
        </w:rPr>
        <w:t xml:space="preserve"> Mapa dos países do Sul Global dos quais há confirmação de coinfecção entre dengue e COVID-19.</w:t>
      </w:r>
    </w:p>
    <w:p w14:paraId="43F73BD9" w14:textId="77777777" w:rsidR="00FA27E1" w:rsidRPr="00FA27E1" w:rsidRDefault="00FA27E1" w:rsidP="00FA27E1">
      <w:pPr>
        <w:pStyle w:val="PargrafodaLista"/>
        <w:rPr>
          <w:rFonts w:ascii="Arial Narrow" w:hAnsi="Arial Narrow"/>
        </w:rPr>
      </w:pPr>
      <w:r>
        <w:rPr>
          <w:noProof/>
        </w:rPr>
        <w:drawing>
          <wp:inline distT="0" distB="0" distL="0" distR="0" wp14:anchorId="3F6D6038" wp14:editId="62110E99">
            <wp:extent cx="5396230" cy="38163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1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8C7D1" w14:textId="77777777" w:rsidR="00427F33" w:rsidRDefault="00FA27E1" w:rsidP="00427F33">
      <w:pPr>
        <w:pStyle w:val="PargrafodaLista"/>
        <w:spacing w:line="360" w:lineRule="auto"/>
        <w:jc w:val="center"/>
        <w:rPr>
          <w:rFonts w:ascii="Arial Narrow" w:hAnsi="Arial Narrow"/>
          <w:sz w:val="18"/>
          <w:szCs w:val="18"/>
        </w:rPr>
      </w:pPr>
      <w:r w:rsidRPr="00FA27E1">
        <w:rPr>
          <w:rFonts w:ascii="Arial Narrow" w:hAnsi="Arial Narrow"/>
          <w:sz w:val="18"/>
          <w:szCs w:val="18"/>
        </w:rPr>
        <w:t>Fonte: Portal GADM, 2021.</w:t>
      </w:r>
    </w:p>
    <w:p w14:paraId="72272043" w14:textId="53A9A3AB" w:rsidR="00427F33" w:rsidRPr="00427F33" w:rsidRDefault="00427F33" w:rsidP="00427F33">
      <w:pPr>
        <w:spacing w:line="360" w:lineRule="auto"/>
        <w:ind w:firstLine="720"/>
        <w:jc w:val="both"/>
        <w:rPr>
          <w:rFonts w:ascii="Arial Narrow" w:hAnsi="Arial Narrow"/>
          <w:sz w:val="18"/>
          <w:szCs w:val="18"/>
        </w:rPr>
      </w:pPr>
      <w:r w:rsidRPr="00427F33">
        <w:rPr>
          <w:rFonts w:ascii="Arial" w:hAnsi="Arial" w:cs="Arial"/>
          <w:caps/>
          <w:sz w:val="24"/>
          <w:szCs w:val="24"/>
        </w:rPr>
        <w:t xml:space="preserve">A </w:t>
      </w:r>
      <w:proofErr w:type="spellStart"/>
      <w:r w:rsidRPr="00427F33">
        <w:rPr>
          <w:rFonts w:ascii="Arial" w:hAnsi="Arial" w:cs="Arial"/>
          <w:sz w:val="24"/>
          <w:szCs w:val="24"/>
        </w:rPr>
        <w:t>coepidemia</w:t>
      </w:r>
      <w:proofErr w:type="spellEnd"/>
      <w:r w:rsidRPr="00427F33">
        <w:rPr>
          <w:rFonts w:ascii="Arial" w:hAnsi="Arial" w:cs="Arial"/>
          <w:sz w:val="24"/>
          <w:szCs w:val="24"/>
        </w:rPr>
        <w:t xml:space="preserve"> entre dengue e COVID-19 nos países pobres do Sul global é tão impassível como disseminadora, tão empedernida como a dor. </w:t>
      </w:r>
    </w:p>
    <w:p w14:paraId="620D9004" w14:textId="77777777" w:rsidR="00427F33" w:rsidRPr="00427F33" w:rsidRDefault="00427F33" w:rsidP="00427F33">
      <w:pPr>
        <w:spacing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6" w:name="_Hlk177150695"/>
      <w:r w:rsidRPr="00427F33">
        <w:rPr>
          <w:rFonts w:ascii="Arial" w:hAnsi="Arial" w:cs="Arial"/>
          <w:sz w:val="24"/>
          <w:szCs w:val="24"/>
        </w:rPr>
        <w:lastRenderedPageBreak/>
        <w:t xml:space="preserve">Combater a possibilidade de </w:t>
      </w:r>
      <w:proofErr w:type="spellStart"/>
      <w:r w:rsidRPr="00427F33">
        <w:rPr>
          <w:rFonts w:ascii="Arial" w:hAnsi="Arial" w:cs="Arial"/>
          <w:sz w:val="24"/>
          <w:szCs w:val="24"/>
        </w:rPr>
        <w:t>coepidemia</w:t>
      </w:r>
      <w:proofErr w:type="spellEnd"/>
      <w:r w:rsidRPr="00427F33">
        <w:rPr>
          <w:rFonts w:ascii="Arial" w:hAnsi="Arial" w:cs="Arial"/>
          <w:sz w:val="24"/>
          <w:szCs w:val="24"/>
        </w:rPr>
        <w:t xml:space="preserve"> entre dengue e COVID-19 nos países pobres do Sul Global é a oportunidade que temos como sociedade, enquanto lutamos por uma sociedade inclusiva. Torna-se importante reconhecer que o mundo ainda não se recuperou com equidade dos impactos da pandemia de COVID-19, o que exige o exercício da garantia de políticas, programas e investimentos na prevenção de pandemias e vigilância da saúde pública. Cabe ressaltar que nas regiões endêmicas de dengue, a </w:t>
      </w:r>
      <w:proofErr w:type="spellStart"/>
      <w:r w:rsidRPr="00427F33">
        <w:rPr>
          <w:rFonts w:ascii="Arial" w:hAnsi="Arial" w:cs="Arial"/>
          <w:sz w:val="24"/>
          <w:szCs w:val="24"/>
        </w:rPr>
        <w:t>coepidemia</w:t>
      </w:r>
      <w:proofErr w:type="spellEnd"/>
      <w:r w:rsidRPr="00427F33">
        <w:rPr>
          <w:rFonts w:ascii="Arial" w:hAnsi="Arial" w:cs="Arial"/>
          <w:sz w:val="24"/>
          <w:szCs w:val="24"/>
        </w:rPr>
        <w:t xml:space="preserve"> entre dengue e COVID-19 representa a possibilidade de colapso e completa sobrecarga para as administrações de saúde. De fato, há ocorrências de surtos concomitantes de dengue e COVID-19</w:t>
      </w:r>
      <w:r w:rsidRPr="00427F33">
        <w:rPr>
          <w:rStyle w:val="Refdenotaderodap"/>
          <w:rFonts w:ascii="Arial" w:hAnsi="Arial" w:cs="Arial"/>
          <w:sz w:val="24"/>
          <w:szCs w:val="24"/>
        </w:rPr>
        <w:footnoteReference w:id="1"/>
      </w:r>
      <w:r w:rsidRPr="00427F33">
        <w:rPr>
          <w:rFonts w:ascii="Arial" w:hAnsi="Arial" w:cs="Arial"/>
          <w:sz w:val="24"/>
          <w:szCs w:val="24"/>
        </w:rPr>
        <w:t xml:space="preserve">, bem como as manifestações clínicas de infecções sobrepostas de ambas as doenças nos países da América Latina e em alguns países da Ásia, cabe evidenciar que há apenas uma RS que menciona 4 casos de coinfecção entre dengue e COVID-19, sem especificar os países, no continente africano (DALUGAMA, 2023). O que representa, que há uma disparidade entre democracia e o Racismo Ambiental, exigindo-se para sociedade o exercício de maior coação aos governantes e grandes fundos para pesquisas em vacinas como ocasião de prevenção e proteção a saúde de todos nós.  </w:t>
      </w:r>
      <w:bookmarkStart w:id="7" w:name="_Hlk177150748"/>
      <w:bookmarkEnd w:id="6"/>
    </w:p>
    <w:p w14:paraId="3D5AD606" w14:textId="77777777" w:rsidR="00427F33" w:rsidRPr="00427F33" w:rsidRDefault="00427F33" w:rsidP="00427F33">
      <w:pPr>
        <w:spacing w:line="360" w:lineRule="auto"/>
        <w:ind w:firstLine="72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sz w:val="24"/>
          <w:szCs w:val="24"/>
        </w:rPr>
        <w:t xml:space="preserve">Convém destacar que foram amargas lições aprendidas durante a pandemia, das quais a OMS, o G7, e o G20 sob a presidência do Brasil objetivam estruturar e melhorar ações em saúde, para o fortalecimento das cooperações existentes voltadas às contramedidas médicas com a finalidade de melhores sequelas em futuras emergências pandêmicas. Nesse período, a Ministra </w:t>
      </w:r>
      <w:r w:rsidRPr="00427F33">
        <w:rPr>
          <w:rFonts w:ascii="Arial" w:hAnsi="Arial" w:cs="Arial"/>
          <w:sz w:val="24"/>
          <w:szCs w:val="24"/>
          <w:shd w:val="clear" w:color="auto" w:fill="FFFFFF"/>
        </w:rPr>
        <w:t>Nísia Trindade apresentou como prioridades da agenda de saúde do G20</w:t>
      </w:r>
      <w:r w:rsidRPr="00427F33">
        <w:rPr>
          <w:rStyle w:val="Refdenotaderodap"/>
          <w:rFonts w:ascii="Arial" w:hAnsi="Arial" w:cs="Arial"/>
          <w:sz w:val="24"/>
          <w:szCs w:val="24"/>
          <w:shd w:val="clear" w:color="auto" w:fill="FFFFFF"/>
        </w:rPr>
        <w:footnoteReference w:id="2"/>
      </w:r>
      <w:r w:rsidRPr="00427F33">
        <w:rPr>
          <w:rFonts w:ascii="Arial" w:hAnsi="Arial" w:cs="Arial"/>
          <w:sz w:val="24"/>
          <w:szCs w:val="24"/>
          <w:shd w:val="clear" w:color="auto" w:fill="FFFFFF"/>
        </w:rPr>
        <w:t>: (i)</w:t>
      </w:r>
      <w:r w:rsidRPr="00427F33">
        <w:rPr>
          <w:rFonts w:ascii="Arial" w:hAnsi="Arial" w:cs="Arial"/>
          <w:sz w:val="24"/>
          <w:szCs w:val="24"/>
        </w:rPr>
        <w:t xml:space="preserve"> </w:t>
      </w:r>
      <w:r w:rsidRPr="00427F33">
        <w:rPr>
          <w:rFonts w:ascii="Arial" w:hAnsi="Arial" w:cs="Arial"/>
          <w:sz w:val="24"/>
          <w:szCs w:val="24"/>
          <w:shd w:val="clear" w:color="auto" w:fill="FFFFFF"/>
        </w:rPr>
        <w:t>a prevenção, preparação e resposta a pandemias, com ênfase na resistência antimicrobiana (RAM) e na estrutura de Saúde Única (</w:t>
      </w:r>
      <w:proofErr w:type="spellStart"/>
      <w:r w:rsidRPr="00427F33">
        <w:rPr>
          <w:rFonts w:ascii="Arial" w:hAnsi="Arial" w:cs="Arial"/>
          <w:sz w:val="24"/>
          <w:szCs w:val="24"/>
          <w:shd w:val="clear" w:color="auto" w:fill="FFFFFF"/>
        </w:rPr>
        <w:t>One</w:t>
      </w:r>
      <w:proofErr w:type="spellEnd"/>
      <w:r w:rsidRPr="00427F33">
        <w:rPr>
          <w:rFonts w:ascii="Arial" w:hAnsi="Arial" w:cs="Arial"/>
          <w:sz w:val="24"/>
          <w:szCs w:val="24"/>
          <w:shd w:val="clear" w:color="auto" w:fill="FFFFFF"/>
        </w:rPr>
        <w:t xml:space="preserve"> Health); (</w:t>
      </w:r>
      <w:proofErr w:type="spellStart"/>
      <w:r w:rsidRPr="00427F33">
        <w:rPr>
          <w:rFonts w:ascii="Arial" w:hAnsi="Arial" w:cs="Arial"/>
          <w:sz w:val="24"/>
          <w:szCs w:val="24"/>
          <w:shd w:val="clear" w:color="auto" w:fill="FFFFFF"/>
        </w:rPr>
        <w:t>ii</w:t>
      </w:r>
      <w:proofErr w:type="spellEnd"/>
      <w:r w:rsidRPr="00427F33">
        <w:rPr>
          <w:rFonts w:ascii="Arial" w:hAnsi="Arial" w:cs="Arial"/>
          <w:sz w:val="24"/>
          <w:szCs w:val="24"/>
          <w:shd w:val="clear" w:color="auto" w:fill="FFFFFF"/>
        </w:rPr>
        <w:t>) o fortalecimento da cooperação no setor farmacêutico, com foco na disponibilidade e acesso equitativo a contramedidas médicas seguras, e; (</w:t>
      </w:r>
      <w:proofErr w:type="spellStart"/>
      <w:r w:rsidRPr="00427F33">
        <w:rPr>
          <w:rFonts w:ascii="Arial" w:hAnsi="Arial" w:cs="Arial"/>
          <w:sz w:val="24"/>
          <w:szCs w:val="24"/>
          <w:shd w:val="clear" w:color="auto" w:fill="FFFFFF"/>
        </w:rPr>
        <w:t>iii</w:t>
      </w:r>
      <w:proofErr w:type="spellEnd"/>
      <w:r w:rsidRPr="00427F33">
        <w:rPr>
          <w:rFonts w:ascii="Arial" w:hAnsi="Arial" w:cs="Arial"/>
          <w:sz w:val="24"/>
          <w:szCs w:val="24"/>
          <w:shd w:val="clear" w:color="auto" w:fill="FFFFFF"/>
        </w:rPr>
        <w:t xml:space="preserve">) modelos de inovação e transformação digital como ferramentas para auxiliar no </w:t>
      </w:r>
      <w:r w:rsidRPr="00427F33">
        <w:rPr>
          <w:rFonts w:ascii="Arial" w:hAnsi="Arial" w:cs="Arial"/>
          <w:sz w:val="24"/>
          <w:szCs w:val="24"/>
          <w:shd w:val="clear" w:color="auto" w:fill="FFFFFF"/>
        </w:rPr>
        <w:lastRenderedPageBreak/>
        <w:t>alcance da Cobertura Universal de Saúde (CUS)</w:t>
      </w:r>
      <w:r w:rsidRPr="00427F33">
        <w:rPr>
          <w:rStyle w:val="Refdenotaderodap"/>
          <w:rFonts w:ascii="Arial" w:hAnsi="Arial" w:cs="Arial"/>
          <w:sz w:val="24"/>
          <w:szCs w:val="24"/>
          <w:shd w:val="clear" w:color="auto" w:fill="FFFFFF"/>
        </w:rPr>
        <w:footnoteReference w:id="3"/>
      </w:r>
      <w:r w:rsidRPr="00427F33">
        <w:rPr>
          <w:rFonts w:ascii="Arial" w:hAnsi="Arial" w:cs="Arial"/>
          <w:sz w:val="24"/>
          <w:szCs w:val="24"/>
          <w:shd w:val="clear" w:color="auto" w:fill="FFFFFF"/>
        </w:rPr>
        <w:t xml:space="preserve"> e em uma melhor prestação de serviços. Por consequência, há múltiplas facetas para deveras melhorar as ações em saúde, que necessitam considerar as mudanças climáticas, o impacto perpétuo do colonialismo, presenciado na pobreza contumaz, na exploração econômica, na espoliação financeira, nas desigualdades estruturais socioambientais, nas hierarquias raciais, étnicas e religiosas, bem como na frequência de migrações. Em outras palavras, melhorar as ações em saúde visando futuras pandemias é também reconhecer o quanto aqueles que vivem em países mais pobres do Sul Global são mais afetados, e que já convivem com sistemas de saúdes frágeis com elevados níveis de insatisfação no atendimento de uma enormidade cadeia de serviços de saúde essenciais, o que torna a garantia da vacinação da população uma ação em saúde fundamental. </w:t>
      </w:r>
      <w:bookmarkEnd w:id="7"/>
    </w:p>
    <w:p w14:paraId="60D18596" w14:textId="77777777" w:rsidR="00427F33" w:rsidRPr="00427F33" w:rsidRDefault="00427F33" w:rsidP="00427F33">
      <w:pPr>
        <w:spacing w:line="360" w:lineRule="auto"/>
        <w:ind w:firstLine="720"/>
        <w:jc w:val="both"/>
        <w:rPr>
          <w:rFonts w:ascii="Arial" w:hAnsi="Arial" w:cs="Arial"/>
          <w:sz w:val="24"/>
          <w:szCs w:val="24"/>
          <w:lang w:eastAsia="es-ES"/>
        </w:rPr>
      </w:pPr>
      <w:r w:rsidRPr="00427F33">
        <w:rPr>
          <w:rFonts w:ascii="Arial" w:hAnsi="Arial" w:cs="Arial"/>
          <w:sz w:val="24"/>
          <w:szCs w:val="24"/>
        </w:rPr>
        <w:t>“Não deixar ninguém para trás” carece enfrentar os principais aspectos socioambientais e comportamentais para ocorrência de coinfecção entre dengue e COVID-19 nos países pobres do Sul Global, tais como: razão, ocorrência, e regularidade de racionamento de abastecimento de água; afluência de fonte de água descoberta; irregularidade de coleta de lixo; ausência da coleta seletiva de lixo; local do exercício das atividades laborais; sazonalidade da periodicidade do abastecimento de água; falta de acesso a rede geral de esgoto ou pluvial; tipo de atividade laboral da trabalhadora ̸ trabalhador na localidade; interrupção da coleta de lixo sem razão; frequência de migração; outro tipo de esgotamento sanitário; falta de continuidade da atividade de combate à dengue; e presença de uso de fonte de água alternativa. Convém destacar que o cobertor que era curto ficou mais curto ainda</w:t>
      </w:r>
      <w:r w:rsidRPr="00427F33">
        <w:rPr>
          <w:rStyle w:val="Refdenotaderodap"/>
          <w:rFonts w:ascii="Arial" w:hAnsi="Arial" w:cs="Arial"/>
          <w:sz w:val="24"/>
          <w:szCs w:val="24"/>
        </w:rPr>
        <w:footnoteReference w:id="4"/>
      </w:r>
      <w:r w:rsidRPr="00427F33">
        <w:rPr>
          <w:rFonts w:ascii="Arial" w:hAnsi="Arial" w:cs="Arial"/>
          <w:sz w:val="24"/>
          <w:szCs w:val="24"/>
        </w:rPr>
        <w:t xml:space="preserve"> para as pessoas em vulnerabilidade social, portanto o Direito a Saúde constitui-se como trabalho e renda, como também um fim e um meio para o exercício de outros direitos e garantias fundamentais. Por consequência, garantir as pesquisas em </w:t>
      </w:r>
      <w:r w:rsidRPr="00427F33">
        <w:rPr>
          <w:rFonts w:ascii="Arial" w:hAnsi="Arial" w:cs="Arial"/>
          <w:color w:val="0F0F0F"/>
          <w:kern w:val="36"/>
          <w:sz w:val="24"/>
          <w:szCs w:val="24"/>
        </w:rPr>
        <w:t>vacinas (dengue e COVID-19), e a vacinação da população em vulnerabilidade social abrange solucionar também esses desafios para à equidade em Saúde global.</w:t>
      </w:r>
    </w:p>
    <w:p w14:paraId="36823992" w14:textId="6C19885C" w:rsidR="0053194F" w:rsidRDefault="0053194F" w:rsidP="00427F33">
      <w:pPr>
        <w:spacing w:after="240" w:line="360" w:lineRule="auto"/>
        <w:ind w:left="1440"/>
        <w:jc w:val="both"/>
        <w:rPr>
          <w:rFonts w:ascii="Arial" w:eastAsia="Arial" w:hAnsi="Arial" w:cs="Arial"/>
          <w:sz w:val="24"/>
          <w:szCs w:val="24"/>
        </w:rPr>
      </w:pPr>
    </w:p>
    <w:p w14:paraId="1E3070AF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8" w:name="_u8dvdtu6gzl1" w:colFirst="0" w:colLast="0"/>
      <w:bookmarkEnd w:id="8"/>
      <w:r>
        <w:rPr>
          <w:rFonts w:ascii="Arial" w:eastAsia="Arial" w:hAnsi="Arial" w:cs="Arial"/>
          <w:sz w:val="24"/>
          <w:szCs w:val="24"/>
        </w:rPr>
        <w:t>4. Conclusão</w:t>
      </w:r>
    </w:p>
    <w:p w14:paraId="418581AD" w14:textId="5DDE601E" w:rsidR="00427F33" w:rsidRPr="00427F33" w:rsidRDefault="00427F33" w:rsidP="00427F33">
      <w:pPr>
        <w:spacing w:before="240" w:after="240"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9" w:name="_Hlk177150986"/>
      <w:r w:rsidRPr="00427F33">
        <w:rPr>
          <w:rFonts w:ascii="Arial" w:hAnsi="Arial" w:cs="Arial"/>
          <w:color w:val="0F0F0F"/>
          <w:kern w:val="36"/>
          <w:sz w:val="24"/>
          <w:szCs w:val="24"/>
        </w:rPr>
        <w:t xml:space="preserve">Em suma, são muitos os desafios, o que corresponde que </w:t>
      </w:r>
      <w:r w:rsidRPr="00427F33">
        <w:rPr>
          <w:rFonts w:ascii="Arial" w:hAnsi="Arial" w:cs="Arial"/>
          <w:sz w:val="24"/>
          <w:szCs w:val="24"/>
        </w:rPr>
        <w:t>há uma subestimação das notificações dos casos de dengue gerados pelos sistemas de notificação. Tampouco, há a existência de dados sobre o acesso à água e saneamento incluindo mulheres e meninas com deficiência, em cenários de conflito, migrantes, grupos indígenas, e aquelas que enfrentam discriminação com base em raça ou etnia. Convém destacar, que não há uma especificação sobre a identidade dos grupos de “populações vulneráveis que vivem em configurações afetadas por crises”, o que obstaculiza a construção de políticas mais assertivas que correspondam às demandas específicas de cada realidade. Pensando bem</w:t>
      </w:r>
      <w:r w:rsidRPr="00427F33">
        <w:rPr>
          <w:rFonts w:ascii="Arial" w:hAnsi="Arial" w:cs="Arial"/>
          <w:color w:val="000000"/>
          <w:sz w:val="24"/>
          <w:szCs w:val="24"/>
        </w:rPr>
        <w:t xml:space="preserve">, apesar da coinfecção entre dengue e COVID-19 acarretar uma contingência de sinais e sintomas dificultando o diagnóstico. Ainda assim, foi possível observar que nas regiões endêmicas de dengue durante a pandemia houveram diversas pessoas que apresentaram coinfecção com a dengue e a COVID-19. Sobretudo, há a necessidade do diagnóstico precoce, </w:t>
      </w:r>
      <w:r w:rsidRPr="00427F33">
        <w:rPr>
          <w:rFonts w:ascii="Arial" w:hAnsi="Arial" w:cs="Arial"/>
          <w:sz w:val="24"/>
          <w:szCs w:val="24"/>
        </w:rPr>
        <w:t xml:space="preserve">organização e prevenção dos sistemas   de   saúde   para   a   sobrecarga, manifestações clínicas de ambas as doenças. Diante de tamanhos desafios, recentemente, o Brasil foi o primeiro país a incorporar a vacina contra a dengue no SUS, conhecida como </w:t>
      </w:r>
      <w:proofErr w:type="spellStart"/>
      <w:r w:rsidRPr="00427F33">
        <w:rPr>
          <w:rFonts w:ascii="Arial" w:hAnsi="Arial" w:cs="Arial"/>
          <w:sz w:val="24"/>
          <w:szCs w:val="24"/>
        </w:rPr>
        <w:t>Qdenga</w:t>
      </w:r>
      <w:proofErr w:type="spellEnd"/>
      <w:r w:rsidRPr="00427F33">
        <w:rPr>
          <w:rFonts w:ascii="Arial" w:hAnsi="Arial" w:cs="Arial"/>
          <w:sz w:val="24"/>
          <w:szCs w:val="24"/>
        </w:rPr>
        <w:t>, e a vacinação será focada em público e regiões prioritárias. De certo que os governos dos países pobres do Sul global também precisarão priorizar as áreas onde a introdução da vacina terá maior impacto e, posteriormente, medir sua eficácia. Por consequência, objetivar a perspectiva nas políticas públicas baseadas em evidências necessita ser o marco orientador da nossa sociedade deficiente, sociedade defeituosa de empatia, sociedade humana digital. O fato é ter que considerar urgente para as regiões endêmicas de dengue nos países do Sul Global o monitoramento da coinfecção entre dengue e COVID-19, para deflagração do Racismo Ambiental e das pessoas em vulnerabilidade social.</w:t>
      </w:r>
    </w:p>
    <w:p w14:paraId="39CC9DFE" w14:textId="77777777" w:rsidR="00427F33" w:rsidRDefault="00427F33" w:rsidP="00427F33">
      <w:pPr>
        <w:pStyle w:val="corpogaramond2colunas"/>
      </w:pPr>
    </w:p>
    <w:bookmarkEnd w:id="9"/>
    <w:p w14:paraId="53915DB8" w14:textId="77777777" w:rsidR="00D17C15" w:rsidRDefault="00D17C15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5. Referências</w:t>
      </w:r>
    </w:p>
    <w:p w14:paraId="7C8D933C" w14:textId="77777777" w:rsidR="00427F33" w:rsidRPr="00427F33" w:rsidRDefault="00427F33" w:rsidP="00427F33">
      <w:pPr>
        <w:spacing w:before="240" w:after="240"/>
        <w:rPr>
          <w:rFonts w:ascii="Arial" w:hAnsi="Arial" w:cs="Arial"/>
          <w:sz w:val="24"/>
          <w:szCs w:val="24"/>
        </w:rPr>
      </w:pPr>
      <w:r w:rsidRPr="00427F33">
        <w:rPr>
          <w:rFonts w:ascii="Arial" w:hAnsi="Arial" w:cs="Arial"/>
          <w:sz w:val="24"/>
          <w:szCs w:val="24"/>
        </w:rPr>
        <w:lastRenderedPageBreak/>
        <w:t xml:space="preserve">BATISTA, </w:t>
      </w:r>
      <w:proofErr w:type="gramStart"/>
      <w:r w:rsidRPr="00427F33">
        <w:rPr>
          <w:rFonts w:ascii="Arial" w:hAnsi="Arial" w:cs="Arial"/>
          <w:sz w:val="24"/>
          <w:szCs w:val="24"/>
        </w:rPr>
        <w:t>A.,P.</w:t>
      </w:r>
      <w:proofErr w:type="gramEnd"/>
      <w:r w:rsidRPr="00427F33">
        <w:rPr>
          <w:rFonts w:ascii="Arial" w:hAnsi="Arial" w:cs="Arial"/>
          <w:sz w:val="24"/>
          <w:szCs w:val="24"/>
        </w:rPr>
        <w:t xml:space="preserve"> In: NASCIMENTO, D.; DE OLIVEIRA, S., M., V., L.; MORAES, S., H., M. (</w:t>
      </w:r>
      <w:proofErr w:type="spellStart"/>
      <w:r w:rsidRPr="00427F33">
        <w:rPr>
          <w:rFonts w:ascii="Arial" w:hAnsi="Arial" w:cs="Arial"/>
          <w:sz w:val="24"/>
          <w:szCs w:val="24"/>
        </w:rPr>
        <w:t>Orgs</w:t>
      </w:r>
      <w:proofErr w:type="spellEnd"/>
      <w:r w:rsidRPr="00427F33">
        <w:rPr>
          <w:rFonts w:ascii="Arial" w:hAnsi="Arial" w:cs="Arial"/>
          <w:sz w:val="24"/>
          <w:szCs w:val="24"/>
        </w:rPr>
        <w:t>).  Fundamentos e tecnologias para o enfrentamento da COVID-19 e de outras doenças virais. Disponível em: &lt;https://www.conasems.org.br/wp-content/uploads/2021/04/Covid-19_guia_orientador_4ed.pdf.&gt;. Acesso em 12 de outubro de 2022.</w:t>
      </w:r>
    </w:p>
    <w:p w14:paraId="5E566572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Dalugama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C.,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Seneviratne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 L. (2023).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co-infections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important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consideration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the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tropics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Transactions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The Royal Society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Tropical Medicine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Hygiene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117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(4), 241-254.</w:t>
      </w:r>
    </w:p>
    <w:p w14:paraId="337EC1F9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Downey, L. E.,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Gadsden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T., Vilas, V. D. R.,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Peiris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D., &amp; Jan, S. (2022). The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impact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essential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health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service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provision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endemic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infectious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diseases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the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South-East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Asia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region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The Lancet Regional Health-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Southeast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Asia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20E43517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Dublin, C. C. T. (2021).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Institutional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Teaching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Learning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Assessment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Strategy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2021-24.</w:t>
      </w:r>
    </w:p>
    <w:p w14:paraId="6DD57FB4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El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Qushayri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A. E.,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Kamel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A. M. A.,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Reda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Ghozy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 (2022). Does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have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worse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outcomes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?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current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evidence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Reviews in Medical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Virology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32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(5), e2339.</w:t>
      </w:r>
    </w:p>
    <w:p w14:paraId="3291201E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Gaspar Soares, D.,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Biano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da Silva, I. P. (2023).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Análisis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espacial aplicado de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atención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primaria al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Maurício Mattos Dourado UAPS: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un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estudio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 caso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contexto socioambiental de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pandemia de COVID-19.</w:t>
      </w:r>
    </w:p>
    <w:p w14:paraId="0489DEF7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Juneau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C. E.,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Pueyo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T., Bell, M.,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Gee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G.,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Collazzo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P.,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Potvin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L. (2022).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Lessons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from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past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pandemics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evidence-based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cost-effective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interventions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suppress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reviews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11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(1), 90.</w:t>
      </w:r>
    </w:p>
    <w:p w14:paraId="383B68D2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Larrain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N., Di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Paolantonio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G.,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Zonenschein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T. R.,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Naik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R.,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Guanais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F. (2023). Panorama da Saúde: América Latina e Caribe 2023: O impacto da pandemia de COVID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noBreakHyphen/>
        <w:t>19 nos sistemas de saúde da América Latina e Caribe.</w:t>
      </w:r>
    </w:p>
    <w:p w14:paraId="5A3117E1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Leifels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Cheng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D.,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Sozzi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E.,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Shoults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D. C.,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Wuertz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Mongkolsuk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Sirikanchana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K. (2021).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Capsid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integrity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quantitative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PCR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determine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virus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infectivity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environmental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food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applications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–a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Water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Research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X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11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100080.</w:t>
      </w:r>
    </w:p>
    <w:p w14:paraId="286DF98B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León-Figueroa, D. A.,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Abanto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-Urbano, S.,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Olarte-Durand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Nuñez-Lupaca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J. N., Barboza, J. J.,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Bonilla-Aldana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D. K., ... &amp; Rodriguez-Morales, A. J. (2022). COVID-19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coinfection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Latin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America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New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Microbes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New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Infections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49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101041.</w:t>
      </w:r>
    </w:p>
    <w:p w14:paraId="1E0B0511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Milby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K. M.,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Atallah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A. N., Rocha-Filho, C. R., Pinto, A. C. P. N., Rocha, A. P. D., Reis, F. S. D. A., ...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Trevisani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V. F. M. (2020). SARS-CoV-2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arbovirus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rapid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Sao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Paulo Medical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Journal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138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498-504.</w:t>
      </w:r>
    </w:p>
    <w:p w14:paraId="27CE202A" w14:textId="6C0F052B" w:rsid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lastRenderedPageBreak/>
        <w:t xml:space="preserve">Nascimento, D. D. G. D., Oliveira, S. M. D. V. L. D., Moraes, S. H. M. D.,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Bortoli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M. C. D., Oliveira, C. D. F.,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Boeira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L. D. S.,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Yonekura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T. (2021). PRODUZINDO EVIDÊNCIAS E RESPOSTAS RÁPIDAS NO TCC.</w:t>
      </w:r>
    </w:p>
    <w:p w14:paraId="79A196E2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Neto, J. C., Maciel, J. M., Rodrigues, L. M., Pereira, M. L. D., da Silva, K. V. L. G., &amp; Cavalcante, E. G. R. (2022). Manifestações clínicas da coinfecção entre covid-19 e dengue em adultos: revisão integrativa.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Revista de Enfermagem do Centro-Oeste Mineiro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12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29B4AD92" w14:textId="77777777" w:rsidR="00427F33" w:rsidRPr="00427F33" w:rsidRDefault="00427F33" w:rsidP="00427F33">
      <w:pPr>
        <w:rPr>
          <w:rFonts w:ascii="Arial" w:hAnsi="Arial" w:cs="Arial"/>
          <w:sz w:val="24"/>
          <w:szCs w:val="24"/>
        </w:rPr>
      </w:pPr>
      <w:r w:rsidRPr="00427F33">
        <w:rPr>
          <w:rFonts w:ascii="Arial" w:hAnsi="Arial" w:cs="Arial"/>
          <w:sz w:val="24"/>
          <w:szCs w:val="24"/>
        </w:rPr>
        <w:t>Organização Pan-Americana de Saúde. Dengue. Disponível em: https://www.paho.org/pt/topicos/dengue. Acesso em: 18 dez. 2021.</w:t>
      </w:r>
    </w:p>
    <w:p w14:paraId="528FE0D5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sz w:val="24"/>
          <w:szCs w:val="24"/>
        </w:rPr>
      </w:pPr>
      <w:r w:rsidRPr="00427F33">
        <w:rPr>
          <w:rFonts w:ascii="Arial" w:hAnsi="Arial" w:cs="Arial"/>
          <w:sz w:val="24"/>
          <w:szCs w:val="24"/>
        </w:rPr>
        <w:t>Portal IBGE: Pesquisa Nacional de Saúde - PNS. in IBGE. Sistema IBGE de recuperação automática - SIDRA. Disponível em: &lt;</w:t>
      </w:r>
      <w:hyperlink r:id="rId11" w:anchor="resultado" w:history="1">
        <w:r w:rsidRPr="00427F33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https://sidra.ibge.gov.br/Tabela/7629#resultado</w:t>
        </w:r>
      </w:hyperlink>
      <w:r w:rsidRPr="00427F33">
        <w:rPr>
          <w:rFonts w:ascii="Arial" w:hAnsi="Arial" w:cs="Arial"/>
          <w:color w:val="0563C1" w:themeColor="hyperlink"/>
          <w:sz w:val="24"/>
          <w:szCs w:val="24"/>
          <w:u w:val="single"/>
        </w:rPr>
        <w:t>&gt;</w:t>
      </w:r>
      <w:r w:rsidRPr="00427F33">
        <w:rPr>
          <w:rFonts w:ascii="Arial" w:hAnsi="Arial" w:cs="Arial"/>
          <w:sz w:val="24"/>
          <w:szCs w:val="24"/>
        </w:rPr>
        <w:t>. Acesso em 15 de setembro de 2023.</w:t>
      </w:r>
    </w:p>
    <w:p w14:paraId="74B13D6B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Raafat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N.,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Loganathan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Mukaka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M.,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Blacksell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 D., &amp; Maude, R. J. (2021).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Diagnostic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accuracy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the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WHO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clinical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definitions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implications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for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surveillance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meta-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analysis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PLOS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Neglected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Tropical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Diseases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15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(4), e0009359.</w:t>
      </w:r>
    </w:p>
    <w:p w14:paraId="4E8E1D3E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Sarkar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Khanna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P., &amp; Singh, A. K. (2021).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Impact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19 in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patients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with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concurrent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meta</w:t>
      </w:r>
      <w:r w:rsidRPr="00427F33">
        <w:rPr>
          <w:rFonts w:ascii="Cambria Math" w:hAnsi="Cambria Math" w:cs="Cambria Math"/>
          <w:color w:val="222222"/>
          <w:sz w:val="24"/>
          <w:szCs w:val="24"/>
          <w:shd w:val="clear" w:color="auto" w:fill="FFFFFF"/>
        </w:rPr>
        <w:t>‐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analyses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Journal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Medical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Virology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93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(4), 2385-2395.</w:t>
      </w:r>
    </w:p>
    <w:p w14:paraId="3D04B89A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Thakur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P.,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Thakur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V.,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Srivastava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 (2023). Maternal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perinatal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outcome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co-infected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pregnancies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European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Journal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Obstetrics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Gynecology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Reproductive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Biology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283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160-163.</w:t>
      </w:r>
    </w:p>
    <w:p w14:paraId="792AC70E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Tsheten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T.,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Clements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A. C., Gray, D. J.,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Adhikary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R. K., &amp;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Wangdi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K. (2021).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Clinical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features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outcomes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co-infection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BMC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infectious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diseases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21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1-9.</w:t>
      </w:r>
    </w:p>
    <w:p w14:paraId="79235F7D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Wu, Q.,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Dong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S., Li, X., Yi, B., Hu, H.,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Guo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Z., &amp; Lu, J. (2022).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Effects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of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COVID-19 non-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pharmacological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interventions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dengue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infection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: a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systematic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review 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meta-</w:t>
      </w:r>
      <w:proofErr w:type="spellStart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analysis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. 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Frontiers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Cellular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and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Infection</w:t>
      </w:r>
      <w:proofErr w:type="spellEnd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Microbiology</w:t>
      </w:r>
      <w:proofErr w:type="spellEnd"/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12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 892508.</w:t>
      </w:r>
    </w:p>
    <w:p w14:paraId="5D1344E8" w14:textId="77777777" w:rsidR="00427F33" w:rsidRPr="00427F33" w:rsidRDefault="00427F33" w:rsidP="00427F33">
      <w:pPr>
        <w:autoSpaceDE w:val="0"/>
        <w:autoSpaceDN w:val="0"/>
        <w:adjustRightInd w:val="0"/>
        <w:spacing w:after="12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Zara, A. L. D. S. A., Santos, S. M. D., Fernandes-Oliveira, E. S., Carvalho, R. G., &amp; Coelho, G. E. (2016). Estratégias de controle do Aedes aegypti: uma revisão.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Epidemiologia e Serviços de Saúde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427F33">
        <w:rPr>
          <w:rFonts w:ascii="Arial" w:hAnsi="Arial" w:cs="Arial"/>
          <w:i/>
          <w:iCs/>
          <w:color w:val="222222"/>
          <w:sz w:val="24"/>
          <w:szCs w:val="24"/>
          <w:shd w:val="clear" w:color="auto" w:fill="FFFFFF"/>
        </w:rPr>
        <w:t>25</w:t>
      </w:r>
      <w:r w:rsidRPr="00427F33">
        <w:rPr>
          <w:rFonts w:ascii="Arial" w:hAnsi="Arial" w:cs="Arial"/>
          <w:color w:val="222222"/>
          <w:sz w:val="24"/>
          <w:szCs w:val="24"/>
          <w:shd w:val="clear" w:color="auto" w:fill="FFFFFF"/>
        </w:rPr>
        <w:t>(2), 391-404.</w:t>
      </w:r>
    </w:p>
    <w:p w14:paraId="474753EB" w14:textId="77777777" w:rsidR="00427F33" w:rsidRPr="00427F33" w:rsidRDefault="00427F33" w:rsidP="00427F33">
      <w:pPr>
        <w:shd w:val="clear" w:color="auto" w:fill="FFFFFF"/>
        <w:spacing w:after="150"/>
        <w:rPr>
          <w:rFonts w:ascii="Arial" w:hAnsi="Arial" w:cs="Arial"/>
          <w:b/>
          <w:bCs/>
          <w:sz w:val="24"/>
          <w:szCs w:val="24"/>
        </w:rPr>
      </w:pPr>
    </w:p>
    <w:p w14:paraId="166B3DD5" w14:textId="77777777" w:rsidR="00427F33" w:rsidRPr="00427F33" w:rsidRDefault="00427F33" w:rsidP="00427F33">
      <w:pPr>
        <w:jc w:val="both"/>
        <w:rPr>
          <w:rFonts w:ascii="Arial" w:hAnsi="Arial" w:cs="Arial"/>
          <w:sz w:val="24"/>
          <w:szCs w:val="24"/>
          <w:lang w:val="es-ES_tradnl"/>
        </w:rPr>
      </w:pPr>
      <w:bookmarkStart w:id="10" w:name="_heading=h.z337ya" w:colFirst="0" w:colLast="0"/>
      <w:bookmarkEnd w:id="10"/>
    </w:p>
    <w:p w14:paraId="265FB551" w14:textId="77777777" w:rsidR="00427F33" w:rsidRDefault="00427F33" w:rsidP="0023277C">
      <w:pPr>
        <w:spacing w:before="240" w:after="24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E29E26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D9FC5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B3261E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CA3ECB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D7A8D1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74472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22B90" w:rsidSect="002D77C0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33C5A" w14:textId="77777777" w:rsidR="00C80F71" w:rsidRDefault="00C80F71">
      <w:pPr>
        <w:spacing w:after="0" w:line="240" w:lineRule="auto"/>
      </w:pPr>
      <w:r>
        <w:separator/>
      </w:r>
    </w:p>
  </w:endnote>
  <w:endnote w:type="continuationSeparator" w:id="0">
    <w:p w14:paraId="2719FF15" w14:textId="77777777" w:rsidR="00C80F71" w:rsidRDefault="00C80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EC252" w14:textId="150F3BFE" w:rsidR="00814DA0" w:rsidRDefault="005352E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 w:rsidRPr="00A2434B">
      <w:rPr>
        <w:noProof/>
      </w:rPr>
      <w:drawing>
        <wp:inline distT="0" distB="0" distL="0" distR="0" wp14:anchorId="237FD1E0" wp14:editId="01A0E8CA">
          <wp:extent cx="7848600" cy="209550"/>
          <wp:effectExtent l="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AB27D" w14:textId="06978CE6" w:rsidR="00D732BA" w:rsidRDefault="005352E5" w:rsidP="00D732BA">
    <w:pPr>
      <w:pStyle w:val="Rodap"/>
      <w:ind w:left="-1701"/>
    </w:pPr>
    <w:r w:rsidRPr="00A2434B">
      <w:rPr>
        <w:noProof/>
      </w:rPr>
      <w:drawing>
        <wp:inline distT="0" distB="0" distL="0" distR="0" wp14:anchorId="79A3318C" wp14:editId="5AD70995">
          <wp:extent cx="8391525" cy="228600"/>
          <wp:effectExtent l="0" t="0" r="0" b="0"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9152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27188" w14:textId="77777777" w:rsidR="00C80F71" w:rsidRDefault="00C80F71">
      <w:pPr>
        <w:spacing w:after="0" w:line="240" w:lineRule="auto"/>
      </w:pPr>
      <w:r>
        <w:separator/>
      </w:r>
    </w:p>
  </w:footnote>
  <w:footnote w:type="continuationSeparator" w:id="0">
    <w:p w14:paraId="1C5053B0" w14:textId="77777777" w:rsidR="00C80F71" w:rsidRDefault="00C80F71">
      <w:pPr>
        <w:spacing w:after="0" w:line="240" w:lineRule="auto"/>
      </w:pPr>
      <w:r>
        <w:continuationSeparator/>
      </w:r>
    </w:p>
  </w:footnote>
  <w:footnote w:id="1">
    <w:p w14:paraId="60FEAA6D" w14:textId="77777777" w:rsidR="00427F33" w:rsidRPr="004B65DF" w:rsidRDefault="00427F33" w:rsidP="00427F33">
      <w:pPr>
        <w:pStyle w:val="NormalWeb"/>
        <w:spacing w:before="240" w:beforeAutospacing="0" w:after="240" w:afterAutospacing="0"/>
        <w:rPr>
          <w:rFonts w:cstheme="minorHAnsi"/>
        </w:rPr>
      </w:pPr>
      <w:r w:rsidRPr="008F1FDC">
        <w:rPr>
          <w:rStyle w:val="Refdenotaderodap"/>
          <w:rFonts w:ascii="Arial Narrow" w:hAnsi="Arial Narrow" w:cstheme="minorHAnsi"/>
          <w:sz w:val="18"/>
          <w:szCs w:val="18"/>
        </w:rPr>
        <w:footnoteRef/>
      </w:r>
      <w:r w:rsidRPr="008F1FDC">
        <w:rPr>
          <w:rFonts w:ascii="Arial Narrow" w:hAnsi="Arial Narrow" w:cstheme="minorHAnsi"/>
          <w:sz w:val="18"/>
          <w:szCs w:val="18"/>
        </w:rPr>
        <w:t xml:space="preserve"> </w:t>
      </w:r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LEÓN-FIGUEROA, D. </w:t>
      </w:r>
      <w:proofErr w:type="gramStart"/>
      <w:r w:rsidRPr="008F1FDC">
        <w:rPr>
          <w:rFonts w:ascii="Arial Narrow" w:hAnsi="Arial Narrow" w:cstheme="minorHAnsi"/>
          <w:color w:val="000000"/>
          <w:sz w:val="18"/>
          <w:szCs w:val="18"/>
        </w:rPr>
        <w:t>A. ;</w:t>
      </w:r>
      <w:proofErr w:type="gram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ABANTO-URBANO, S.; OLARTE-DURANTE, M.; NUÑEZ-LUPACA, J. N.</w:t>
      </w:r>
      <w:r w:rsidRPr="008F1FDC">
        <w:rPr>
          <w:rFonts w:ascii="Arial Narrow" w:hAnsi="Arial Narrow" w:cstheme="minorHAnsi"/>
          <w:i/>
          <w:iCs/>
          <w:color w:val="000000"/>
          <w:sz w:val="18"/>
          <w:szCs w:val="18"/>
        </w:rPr>
        <w:t xml:space="preserve"> et al.</w:t>
      </w:r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COVID-19 </w:t>
      </w:r>
      <w:proofErr w:type="spellStart"/>
      <w:r w:rsidRPr="008F1FDC">
        <w:rPr>
          <w:rFonts w:ascii="Arial Narrow" w:hAnsi="Arial Narrow" w:cstheme="minorHAnsi"/>
          <w:color w:val="000000"/>
          <w:sz w:val="18"/>
          <w:szCs w:val="18"/>
        </w:rPr>
        <w:t>and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dengue </w:t>
      </w:r>
      <w:proofErr w:type="spellStart"/>
      <w:r w:rsidRPr="008F1FDC">
        <w:rPr>
          <w:rFonts w:ascii="Arial Narrow" w:hAnsi="Arial Narrow" w:cstheme="minorHAnsi"/>
          <w:color w:val="000000"/>
          <w:sz w:val="18"/>
          <w:szCs w:val="18"/>
        </w:rPr>
        <w:t>coinfection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in </w:t>
      </w:r>
      <w:proofErr w:type="spellStart"/>
      <w:r w:rsidRPr="008F1FDC">
        <w:rPr>
          <w:rFonts w:ascii="Arial Narrow" w:hAnsi="Arial Narrow" w:cstheme="minorHAnsi"/>
          <w:color w:val="000000"/>
          <w:sz w:val="18"/>
          <w:szCs w:val="18"/>
        </w:rPr>
        <w:t>Latin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</w:t>
      </w:r>
      <w:proofErr w:type="spellStart"/>
      <w:r w:rsidRPr="008F1FDC">
        <w:rPr>
          <w:rFonts w:ascii="Arial Narrow" w:hAnsi="Arial Narrow" w:cstheme="minorHAnsi"/>
          <w:color w:val="000000"/>
          <w:sz w:val="18"/>
          <w:szCs w:val="18"/>
        </w:rPr>
        <w:t>America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: A </w:t>
      </w:r>
      <w:proofErr w:type="spellStart"/>
      <w:r w:rsidRPr="008F1FDC">
        <w:rPr>
          <w:rFonts w:ascii="Arial Narrow" w:hAnsi="Arial Narrow" w:cstheme="minorHAnsi"/>
          <w:color w:val="000000"/>
          <w:sz w:val="18"/>
          <w:szCs w:val="18"/>
        </w:rPr>
        <w:t>systematic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 xml:space="preserve"> review. </w:t>
      </w:r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 xml:space="preserve">New </w:t>
      </w:r>
      <w:proofErr w:type="spellStart"/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>Microbes</w:t>
      </w:r>
      <w:proofErr w:type="spellEnd"/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 xml:space="preserve"> </w:t>
      </w:r>
      <w:proofErr w:type="spellStart"/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>and</w:t>
      </w:r>
      <w:proofErr w:type="spellEnd"/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 xml:space="preserve"> New </w:t>
      </w:r>
      <w:proofErr w:type="spellStart"/>
      <w:r w:rsidRPr="008F1FDC">
        <w:rPr>
          <w:rFonts w:ascii="Arial Narrow" w:hAnsi="Arial Narrow" w:cstheme="minorHAnsi"/>
          <w:b/>
          <w:bCs/>
          <w:color w:val="000000"/>
          <w:sz w:val="18"/>
          <w:szCs w:val="18"/>
        </w:rPr>
        <w:t>Infections</w:t>
      </w:r>
      <w:proofErr w:type="spellEnd"/>
      <w:r w:rsidRPr="008F1FDC">
        <w:rPr>
          <w:rFonts w:ascii="Arial Narrow" w:hAnsi="Arial Narrow" w:cstheme="minorHAnsi"/>
          <w:color w:val="000000"/>
          <w:sz w:val="18"/>
          <w:szCs w:val="18"/>
        </w:rPr>
        <w:t>, 49-50, 2022. Review</w:t>
      </w:r>
    </w:p>
  </w:footnote>
  <w:footnote w:id="2">
    <w:p w14:paraId="24DCF6C2" w14:textId="77777777" w:rsidR="00427F33" w:rsidRPr="008F1FDC" w:rsidRDefault="00427F33" w:rsidP="00427F33">
      <w:pPr>
        <w:pStyle w:val="Textodenotaderodap"/>
        <w:rPr>
          <w:rFonts w:ascii="Arial Narrow" w:hAnsi="Arial Narrow"/>
          <w:sz w:val="18"/>
          <w:szCs w:val="18"/>
          <w:lang w:val="pt-BR"/>
        </w:rPr>
      </w:pPr>
      <w:r w:rsidRPr="008F1FDC">
        <w:rPr>
          <w:rStyle w:val="Refdenotaderodap"/>
          <w:rFonts w:ascii="Arial Narrow" w:hAnsi="Arial Narrow"/>
          <w:sz w:val="18"/>
          <w:szCs w:val="18"/>
        </w:rPr>
        <w:footnoteRef/>
      </w:r>
      <w:r w:rsidRPr="008F1FDC">
        <w:rPr>
          <w:rFonts w:ascii="Arial Narrow" w:hAnsi="Arial Narrow"/>
          <w:sz w:val="18"/>
          <w:szCs w:val="18"/>
        </w:rPr>
        <w:t xml:space="preserve"> </w:t>
      </w:r>
      <w:r w:rsidRPr="008F1FDC">
        <w:rPr>
          <w:rFonts w:ascii="Arial Narrow" w:hAnsi="Arial Narrow"/>
          <w:sz w:val="18"/>
          <w:szCs w:val="18"/>
          <w:lang w:val="pt-BR"/>
        </w:rPr>
        <w:t xml:space="preserve">Caderno CRIS 15, página 63 </w:t>
      </w:r>
      <w:proofErr w:type="spellStart"/>
      <w:r w:rsidRPr="008F1FDC">
        <w:rPr>
          <w:rFonts w:ascii="Arial Narrow" w:hAnsi="Arial Narrow"/>
          <w:sz w:val="18"/>
          <w:szCs w:val="18"/>
        </w:rPr>
        <w:t>Cadernos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CRIS de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Global e Diplomacia da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15/2023. Resultados e </w:t>
      </w:r>
      <w:proofErr w:type="spellStart"/>
      <w:r w:rsidRPr="008F1FDC">
        <w:rPr>
          <w:rFonts w:ascii="Arial Narrow" w:hAnsi="Arial Narrow"/>
          <w:sz w:val="18"/>
          <w:szCs w:val="18"/>
        </w:rPr>
        <w:t>caminhos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futuros para a agenda da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no G20; pp. 61-62.</w:t>
      </w:r>
    </w:p>
  </w:footnote>
  <w:footnote w:id="3">
    <w:p w14:paraId="4BF33E2D" w14:textId="77777777" w:rsidR="00427F33" w:rsidRPr="008F1FDC" w:rsidRDefault="00427F33" w:rsidP="00427F33">
      <w:pPr>
        <w:pStyle w:val="Textodenotaderodap"/>
        <w:rPr>
          <w:rFonts w:ascii="Arial Narrow" w:hAnsi="Arial Narrow"/>
          <w:sz w:val="18"/>
          <w:szCs w:val="18"/>
          <w:lang w:val="pt-BR"/>
        </w:rPr>
      </w:pPr>
      <w:r w:rsidRPr="008F1FDC">
        <w:rPr>
          <w:rStyle w:val="Refdenotaderodap"/>
          <w:rFonts w:ascii="Arial Narrow" w:hAnsi="Arial Narrow"/>
          <w:sz w:val="18"/>
          <w:szCs w:val="18"/>
        </w:rPr>
        <w:footnoteRef/>
      </w:r>
      <w:r w:rsidRPr="008F1FDC">
        <w:rPr>
          <w:rFonts w:ascii="Arial Narrow" w:hAnsi="Arial Narrow"/>
          <w:sz w:val="18"/>
          <w:szCs w:val="18"/>
        </w:rPr>
        <w:t xml:space="preserve"> A Cobertura Universal de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(CUS) </w:t>
      </w:r>
      <w:proofErr w:type="spellStart"/>
      <w:r w:rsidRPr="008F1FDC">
        <w:rPr>
          <w:rFonts w:ascii="Arial Narrow" w:hAnsi="Arial Narrow"/>
          <w:sz w:val="18"/>
          <w:szCs w:val="18"/>
        </w:rPr>
        <w:t>inclui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toda </w:t>
      </w:r>
      <w:proofErr w:type="spellStart"/>
      <w:r w:rsidRPr="008F1FDC">
        <w:rPr>
          <w:rFonts w:ascii="Arial Narrow" w:hAnsi="Arial Narrow"/>
          <w:sz w:val="18"/>
          <w:szCs w:val="18"/>
        </w:rPr>
        <w:t>a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gama de </w:t>
      </w:r>
      <w:proofErr w:type="spellStart"/>
      <w:r w:rsidRPr="008F1FDC">
        <w:rPr>
          <w:rFonts w:ascii="Arial Narrow" w:hAnsi="Arial Narrow"/>
          <w:sz w:val="18"/>
          <w:szCs w:val="18"/>
        </w:rPr>
        <w:t>serviços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de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</w:t>
      </w:r>
      <w:proofErr w:type="spellStart"/>
      <w:r w:rsidRPr="008F1FDC">
        <w:rPr>
          <w:rFonts w:ascii="Arial Narrow" w:hAnsi="Arial Narrow"/>
          <w:sz w:val="18"/>
          <w:szCs w:val="18"/>
        </w:rPr>
        <w:t>essenciais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e de </w:t>
      </w:r>
      <w:proofErr w:type="spellStart"/>
      <w:r w:rsidRPr="008F1FDC">
        <w:rPr>
          <w:rFonts w:ascii="Arial Narrow" w:hAnsi="Arial Narrow"/>
          <w:sz w:val="18"/>
          <w:szCs w:val="18"/>
        </w:rPr>
        <w:t>qualidade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, desde a </w:t>
      </w:r>
      <w:proofErr w:type="spellStart"/>
      <w:r w:rsidRPr="008F1FDC">
        <w:rPr>
          <w:rFonts w:ascii="Arial Narrow" w:hAnsi="Arial Narrow"/>
          <w:sz w:val="18"/>
          <w:szCs w:val="18"/>
        </w:rPr>
        <w:t>promoção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da </w:t>
      </w:r>
      <w:proofErr w:type="spellStart"/>
      <w:r w:rsidRPr="008F1FDC">
        <w:rPr>
          <w:rFonts w:ascii="Arial Narrow" w:hAnsi="Arial Narrow"/>
          <w:sz w:val="18"/>
          <w:szCs w:val="18"/>
        </w:rPr>
        <w:t>saúde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até à </w:t>
      </w:r>
      <w:proofErr w:type="spellStart"/>
      <w:r w:rsidRPr="008F1FDC">
        <w:rPr>
          <w:rFonts w:ascii="Arial Narrow" w:hAnsi="Arial Narrow"/>
          <w:sz w:val="18"/>
          <w:szCs w:val="18"/>
        </w:rPr>
        <w:t>prevenção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, </w:t>
      </w:r>
      <w:proofErr w:type="spellStart"/>
      <w:r w:rsidRPr="008F1FDC">
        <w:rPr>
          <w:rFonts w:ascii="Arial Narrow" w:hAnsi="Arial Narrow"/>
          <w:sz w:val="18"/>
          <w:szCs w:val="18"/>
        </w:rPr>
        <w:t>tratamento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, </w:t>
      </w:r>
      <w:proofErr w:type="spellStart"/>
      <w:r w:rsidRPr="008F1FDC">
        <w:rPr>
          <w:rFonts w:ascii="Arial Narrow" w:hAnsi="Arial Narrow"/>
          <w:sz w:val="18"/>
          <w:szCs w:val="18"/>
        </w:rPr>
        <w:t>reabilitação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e cuidados paliativos.</w:t>
      </w:r>
    </w:p>
  </w:footnote>
  <w:footnote w:id="4">
    <w:p w14:paraId="4DA52C0C" w14:textId="77777777" w:rsidR="00427F33" w:rsidRPr="008F1FDC" w:rsidRDefault="00427F33" w:rsidP="00427F33">
      <w:pPr>
        <w:pStyle w:val="Textodenotaderodap"/>
        <w:rPr>
          <w:rFonts w:ascii="Arial Narrow" w:hAnsi="Arial Narrow"/>
          <w:sz w:val="18"/>
          <w:szCs w:val="18"/>
          <w:lang w:val="pt-BR"/>
        </w:rPr>
      </w:pPr>
      <w:r w:rsidRPr="008F1FDC">
        <w:rPr>
          <w:rStyle w:val="Refdenotaderodap"/>
          <w:rFonts w:ascii="Arial Narrow" w:hAnsi="Arial Narrow"/>
          <w:sz w:val="18"/>
          <w:szCs w:val="18"/>
        </w:rPr>
        <w:footnoteRef/>
      </w:r>
      <w:r w:rsidRPr="008F1FDC">
        <w:rPr>
          <w:rFonts w:ascii="Arial Narrow" w:hAnsi="Arial Narrow"/>
          <w:sz w:val="18"/>
          <w:szCs w:val="18"/>
        </w:rPr>
        <w:t xml:space="preserve"> Portal Paz e </w:t>
      </w:r>
      <w:proofErr w:type="spellStart"/>
      <w:r w:rsidRPr="008F1FDC">
        <w:rPr>
          <w:rFonts w:ascii="Arial Narrow" w:hAnsi="Arial Narrow"/>
          <w:sz w:val="18"/>
          <w:szCs w:val="18"/>
        </w:rPr>
        <w:t>pão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. </w:t>
      </w:r>
      <w:proofErr w:type="spellStart"/>
      <w:r w:rsidRPr="008F1FDC">
        <w:rPr>
          <w:rFonts w:ascii="Arial Narrow" w:hAnsi="Arial Narrow"/>
          <w:sz w:val="18"/>
          <w:szCs w:val="18"/>
        </w:rPr>
        <w:t>Disponível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em: </w:t>
      </w:r>
      <w:hyperlink r:id="rId1" w:history="1">
        <w:r w:rsidRPr="008F1FDC">
          <w:rPr>
            <w:rStyle w:val="Hyperlink"/>
            <w:rFonts w:ascii="Arial Narrow" w:hAnsi="Arial Narrow"/>
            <w:sz w:val="18"/>
            <w:szCs w:val="18"/>
          </w:rPr>
          <w:t>https://pazepao.com.br/o-cobertor-curto/</w:t>
        </w:r>
      </w:hyperlink>
      <w:r w:rsidRPr="008F1FDC">
        <w:rPr>
          <w:rFonts w:ascii="Arial Narrow" w:hAnsi="Arial Narrow"/>
          <w:sz w:val="18"/>
          <w:szCs w:val="18"/>
        </w:rPr>
        <w:t xml:space="preserve">. </w:t>
      </w:r>
      <w:proofErr w:type="spellStart"/>
      <w:r w:rsidRPr="008F1FDC">
        <w:rPr>
          <w:rFonts w:ascii="Arial Narrow" w:hAnsi="Arial Narrow"/>
          <w:sz w:val="18"/>
          <w:szCs w:val="18"/>
        </w:rPr>
        <w:t>Acesso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em 27 de </w:t>
      </w:r>
      <w:proofErr w:type="spellStart"/>
      <w:r w:rsidRPr="008F1FDC">
        <w:rPr>
          <w:rFonts w:ascii="Arial Narrow" w:hAnsi="Arial Narrow"/>
          <w:sz w:val="18"/>
          <w:szCs w:val="18"/>
        </w:rPr>
        <w:t>dezembro</w:t>
      </w:r>
      <w:proofErr w:type="spellEnd"/>
      <w:r w:rsidRPr="008F1FDC">
        <w:rPr>
          <w:rFonts w:ascii="Arial Narrow" w:hAnsi="Arial Narrow"/>
          <w:sz w:val="18"/>
          <w:szCs w:val="18"/>
        </w:rPr>
        <w:t xml:space="preserve"> de 2023.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284590" w14:textId="5F597947" w:rsidR="002D77C0" w:rsidRDefault="00C80F71" w:rsidP="00857725">
    <w:pPr>
      <w:pStyle w:val="Cabealho"/>
      <w:framePr w:wrap="none" w:vAnchor="text" w:hAnchor="margin" w:xAlign="right" w:y="1"/>
      <w:rPr>
        <w:rStyle w:val="Nmerodepgina"/>
      </w:rPr>
    </w:pPr>
    <w:r>
      <w:rPr>
        <w:noProof/>
      </w:rPr>
      <w:pict w14:anchorId="068E6F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7" o:spid="_x0000_s2055" type="#_x0000_t75" style="position:absolute;margin-left:0;margin-top:0;width:453.4pt;height:316.35pt;z-index:-251654656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2500BD">
      <w:rPr>
        <w:rStyle w:val="Nmerodepgina"/>
      </w:rPr>
      <w:fldChar w:fldCharType="begin"/>
    </w:r>
    <w:r w:rsidR="002D77C0">
      <w:rPr>
        <w:rStyle w:val="Nmerodepgina"/>
      </w:rPr>
      <w:instrText xml:space="preserve"> PAGE </w:instrText>
    </w:r>
    <w:r w:rsidR="002500BD">
      <w:rPr>
        <w:rStyle w:val="Nmerodepgina"/>
      </w:rPr>
      <w:fldChar w:fldCharType="end"/>
    </w:r>
  </w:p>
  <w:p w14:paraId="6E01775B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F2905" w14:textId="3A51C6F7" w:rsidR="002D77C0" w:rsidRPr="002D77C0" w:rsidRDefault="002500BD" w:rsidP="002D77C0">
    <w:pPr>
      <w:pStyle w:val="Cabealho"/>
      <w:framePr w:wrap="none" w:vAnchor="text" w:hAnchor="page" w:x="10666" w:y="-1014"/>
      <w:rPr>
        <w:rStyle w:val="Nmerodepgina"/>
        <w:rFonts w:ascii="Times New Roman" w:hAnsi="Times New Roman" w:cs="Times New Roman"/>
        <w:sz w:val="24"/>
        <w:szCs w:val="24"/>
      </w:rPr>
    </w:pP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begin"/>
    </w:r>
    <w:r w:rsidR="002D77C0" w:rsidRPr="002D77C0">
      <w:rPr>
        <w:rStyle w:val="Nmerodepgina"/>
        <w:rFonts w:ascii="Times New Roman" w:hAnsi="Times New Roman" w:cs="Times New Roman"/>
        <w:sz w:val="24"/>
        <w:szCs w:val="24"/>
      </w:rPr>
      <w:instrText xml:space="preserve"> PAGE </w:instrTex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separate"/>
    </w:r>
    <w:r w:rsidR="0023277C">
      <w:rPr>
        <w:rStyle w:val="Nmerodepgina"/>
        <w:rFonts w:ascii="Times New Roman" w:hAnsi="Times New Roman" w:cs="Times New Roman"/>
        <w:noProof/>
        <w:sz w:val="24"/>
        <w:szCs w:val="24"/>
      </w:rPr>
      <w:t>2</w:t>
    </w:r>
    <w:r w:rsidRPr="002D77C0">
      <w:rPr>
        <w:rStyle w:val="Nmerodepgina"/>
        <w:rFonts w:ascii="Times New Roman" w:hAnsi="Times New Roman" w:cs="Times New Roman"/>
        <w:sz w:val="24"/>
        <w:szCs w:val="24"/>
      </w:rPr>
      <w:fldChar w:fldCharType="end"/>
    </w:r>
  </w:p>
  <w:p w14:paraId="71B55A03" w14:textId="6E4AC593" w:rsidR="00814DA0" w:rsidRDefault="00C80F71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rFonts w:ascii="Times New Roman" w:hAnsi="Times New Roman" w:cs="Times New Roman"/>
        <w:noProof/>
        <w:sz w:val="24"/>
        <w:szCs w:val="24"/>
      </w:rPr>
      <w:pict w14:anchorId="74CB8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8" o:spid="_x0000_s2056" type="#_x0000_t75" style="position:absolute;margin-left:-20.15pt;margin-top:204.9pt;width:453.4pt;height:316.35pt;z-index:-251653632;mso-position-horizontal-relative:margin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9776" behindDoc="0" locked="0" layoutInCell="1" allowOverlap="1" wp14:anchorId="4A559789" wp14:editId="3AD20659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5260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81544F" w14:textId="59F11AD1" w:rsidR="00222B90" w:rsidRDefault="00C80F71" w:rsidP="005D6986">
    <w:pPr>
      <w:pStyle w:val="Cabealho"/>
      <w:ind w:left="-1701"/>
    </w:pPr>
    <w:r>
      <w:rPr>
        <w:noProof/>
      </w:rPr>
      <w:pict w14:anchorId="3EE481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45796" o:spid="_x0000_s2054" type="#_x0000_t75" style="position:absolute;left:0;text-align:left;margin-left:0;margin-top:0;width:453.4pt;height:316.35pt;z-index:-251655680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5352E5">
      <w:rPr>
        <w:noProof/>
      </w:rPr>
      <w:drawing>
        <wp:anchor distT="0" distB="0" distL="114300" distR="114300" simplePos="0" relativeHeight="251658752" behindDoc="0" locked="0" layoutInCell="1" allowOverlap="1" wp14:anchorId="248C397D" wp14:editId="0EC29594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025" cy="309880"/>
          <wp:effectExtent l="0" t="0" r="0" b="0"/>
          <wp:wrapSquare wrapText="bothSides"/>
          <wp:docPr id="24780655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3025" cy="30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6"/>
  </w:num>
  <w:num w:numId="5">
    <w:abstractNumId w:val="3"/>
  </w:num>
  <w:num w:numId="6">
    <w:abstractNumId w:val="7"/>
  </w:num>
  <w:num w:numId="7">
    <w:abstractNumId w:val="11"/>
  </w:num>
  <w:num w:numId="8">
    <w:abstractNumId w:val="8"/>
  </w:num>
  <w:num w:numId="9">
    <w:abstractNumId w:val="4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A0"/>
    <w:rsid w:val="00035C33"/>
    <w:rsid w:val="00117EC6"/>
    <w:rsid w:val="00151EC1"/>
    <w:rsid w:val="00173068"/>
    <w:rsid w:val="00222B90"/>
    <w:rsid w:val="0023277C"/>
    <w:rsid w:val="002500BD"/>
    <w:rsid w:val="002D77C0"/>
    <w:rsid w:val="003207DA"/>
    <w:rsid w:val="00352D9B"/>
    <w:rsid w:val="00361EC4"/>
    <w:rsid w:val="0039229F"/>
    <w:rsid w:val="0040499C"/>
    <w:rsid w:val="00427F33"/>
    <w:rsid w:val="004D6F9A"/>
    <w:rsid w:val="0051116C"/>
    <w:rsid w:val="0053194F"/>
    <w:rsid w:val="005352E5"/>
    <w:rsid w:val="00535490"/>
    <w:rsid w:val="005D6986"/>
    <w:rsid w:val="0069365F"/>
    <w:rsid w:val="0072597F"/>
    <w:rsid w:val="00814DA0"/>
    <w:rsid w:val="00857725"/>
    <w:rsid w:val="008C0439"/>
    <w:rsid w:val="00950106"/>
    <w:rsid w:val="009528FD"/>
    <w:rsid w:val="00957C81"/>
    <w:rsid w:val="00A85854"/>
    <w:rsid w:val="00B51029"/>
    <w:rsid w:val="00B56E42"/>
    <w:rsid w:val="00B876D9"/>
    <w:rsid w:val="00BB7B34"/>
    <w:rsid w:val="00C21CAE"/>
    <w:rsid w:val="00C71E09"/>
    <w:rsid w:val="00C80F71"/>
    <w:rsid w:val="00D17C15"/>
    <w:rsid w:val="00D732BA"/>
    <w:rsid w:val="00DA40A2"/>
    <w:rsid w:val="00EE48FF"/>
    <w:rsid w:val="00EF27BE"/>
    <w:rsid w:val="00FA2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058B523A"/>
  <w15:chartTrackingRefBased/>
  <w15:docId w15:val="{7ED252D6-833B-4ECB-BDD8-562CBD714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642"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rsid w:val="002500B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2500B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500B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500B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500B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500B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500BD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2500BD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2500B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2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77C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53194F"/>
    <w:rPr>
      <w:color w:val="605E5C"/>
      <w:shd w:val="clear" w:color="auto" w:fill="E1DFDD"/>
    </w:rPr>
  </w:style>
  <w:style w:type="paragraph" w:customStyle="1" w:styleId="resumogaramond11">
    <w:name w:val="resumo garamond 11"/>
    <w:basedOn w:val="Normal"/>
    <w:qFormat/>
    <w:rsid w:val="0040499C"/>
    <w:pPr>
      <w:spacing w:before="160" w:line="240" w:lineRule="auto"/>
      <w:jc w:val="both"/>
    </w:pPr>
    <w:rPr>
      <w:rFonts w:ascii="Garamond" w:eastAsia="MS Mincho" w:hAnsi="Garamond" w:cs="Arial"/>
      <w:bCs/>
      <w:lang w:val="es-MX" w:eastAsia="en-US"/>
    </w:rPr>
  </w:style>
  <w:style w:type="paragraph" w:customStyle="1" w:styleId="corpogaramond2colunas">
    <w:name w:val="corpo garamond 2 colunas"/>
    <w:qFormat/>
    <w:rsid w:val="00FA27E1"/>
    <w:pPr>
      <w:ind w:firstLine="720"/>
      <w:jc w:val="both"/>
    </w:pPr>
    <w:rPr>
      <w:rFonts w:ascii="Garamond" w:eastAsia="MS Mincho" w:hAnsi="Garamond" w:cs="Arial"/>
      <w:bCs/>
      <w:noProof/>
      <w:sz w:val="22"/>
      <w:szCs w:val="22"/>
      <w:shd w:val="clear" w:color="auto" w:fill="FFFFFF"/>
      <w:lang w:val="es-ES"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27F33"/>
    <w:pPr>
      <w:spacing w:before="60" w:after="120" w:line="240" w:lineRule="auto"/>
      <w:ind w:firstLine="284"/>
      <w:jc w:val="both"/>
    </w:pPr>
    <w:rPr>
      <w:rFonts w:ascii="Times New Roman" w:eastAsiaTheme="minorEastAsia" w:hAnsi="Times New Roman" w:cstheme="minorBidi"/>
      <w:sz w:val="20"/>
      <w:szCs w:val="24"/>
      <w:lang w:val="es-ES" w:eastAsia="es-E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27F33"/>
    <w:rPr>
      <w:rFonts w:ascii="Times New Roman" w:eastAsiaTheme="minorEastAsia" w:hAnsi="Times New Roman" w:cstheme="minorBidi"/>
      <w:szCs w:val="24"/>
      <w:lang w:val="es-ES" w:eastAsia="es-ES"/>
    </w:rPr>
  </w:style>
  <w:style w:type="character" w:styleId="Refdenotaderodap">
    <w:name w:val="footnote reference"/>
    <w:basedOn w:val="Fontepargpadro"/>
    <w:uiPriority w:val="99"/>
    <w:unhideWhenUsed/>
    <w:rsid w:val="00427F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ragirassol@ufrrj.br" TargetMode="Externa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idra.ibge.gov.br/Tabela/7629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fernadeswfp957@gmail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pazepao.com.br/o-cobertor-curt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2800</Words>
  <Characters>15126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wludarski</dc:creator>
  <cp:keywords/>
  <cp:lastModifiedBy>Débora Gaspar Soares</cp:lastModifiedBy>
  <cp:revision>2</cp:revision>
  <dcterms:created xsi:type="dcterms:W3CDTF">2025-03-18T13:22:00Z</dcterms:created>
  <dcterms:modified xsi:type="dcterms:W3CDTF">2025-03-18T13:22:00Z</dcterms:modified>
</cp:coreProperties>
</file>