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916439" w14:textId="77777777" w:rsidR="00C25D3B" w:rsidRPr="00C25D3B" w:rsidRDefault="00C25D3B" w:rsidP="00C25D3B">
      <w:pPr>
        <w:spacing w:before="240" w:after="240"/>
        <w:jc w:val="both"/>
        <w:rPr>
          <w:rFonts w:ascii="Arial" w:eastAsia="Arial" w:hAnsi="Arial" w:cs="Arial"/>
          <w:b/>
          <w:sz w:val="24"/>
          <w:szCs w:val="24"/>
        </w:rPr>
      </w:pPr>
      <w:r w:rsidRPr="00C25D3B">
        <w:rPr>
          <w:rFonts w:ascii="Arial" w:eastAsia="Arial" w:hAnsi="Arial" w:cs="Arial"/>
          <w:b/>
          <w:sz w:val="24"/>
          <w:szCs w:val="24"/>
        </w:rPr>
        <w:t xml:space="preserve">ONTEM COMEMOS MAL, E HOJE PIOR: UMA ÁNALISE DOS SIGNIFICADOS DA FOME A PARTIR DE CAROLINA MARIA DE </w:t>
      </w:r>
      <w:proofErr w:type="gramStart"/>
      <w:r w:rsidRPr="00C25D3B">
        <w:rPr>
          <w:rFonts w:ascii="Arial" w:eastAsia="Arial" w:hAnsi="Arial" w:cs="Arial"/>
          <w:b/>
          <w:sz w:val="24"/>
          <w:szCs w:val="24"/>
        </w:rPr>
        <w:t>JESUS</w:t>
      </w:r>
      <w:proofErr w:type="gramEnd"/>
    </w:p>
    <w:p w14:paraId="79731BB9" w14:textId="699AD003"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23277C">
        <w:rPr>
          <w:rFonts w:ascii="Arial" w:eastAsia="Arial" w:hAnsi="Arial" w:cs="Arial"/>
          <w:b/>
          <w:sz w:val="24"/>
          <w:szCs w:val="24"/>
        </w:rPr>
        <w:t xml:space="preserve"> </w:t>
      </w:r>
      <w:r w:rsidR="00C25D3B" w:rsidRPr="004C2926">
        <w:rPr>
          <w:rFonts w:ascii="Arial" w:eastAsia="Arial" w:hAnsi="Arial" w:cs="Arial"/>
          <w:sz w:val="24"/>
          <w:szCs w:val="24"/>
        </w:rPr>
        <w:t>João Victor Bergamo de Siqueira, Universidade Federal Fluminense, joaobergamo@id.uff.br</w:t>
      </w:r>
      <w:proofErr w:type="gramStart"/>
      <w:r w:rsidR="00806186">
        <w:pict w14:anchorId="6BDB3661">
          <v:rect id="_x0000_i1025" style="width:0;height:1.5pt" o:hralign="center" o:hrstd="t" o:hr="t" fillcolor="#a0a0a0" stroked="f"/>
        </w:pict>
      </w:r>
      <w:proofErr w:type="gramEnd"/>
    </w:p>
    <w:p w14:paraId="4FFB7DC5" w14:textId="77777777" w:rsidR="004D6F9A" w:rsidRDefault="004D6F9A" w:rsidP="00D17C15">
      <w:pPr>
        <w:spacing w:before="240" w:after="240" w:line="360" w:lineRule="auto"/>
        <w:jc w:val="both"/>
        <w:rPr>
          <w:rFonts w:ascii="Arial" w:eastAsia="Arial" w:hAnsi="Arial" w:cs="Arial"/>
          <w:b/>
          <w:sz w:val="24"/>
          <w:szCs w:val="24"/>
        </w:rPr>
      </w:pPr>
    </w:p>
    <w:p w14:paraId="7E14C841"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7477ADDC" w14:textId="77777777" w:rsidR="004C2926" w:rsidRDefault="004C2926" w:rsidP="00D17C15">
      <w:pPr>
        <w:spacing w:before="240" w:after="240" w:line="360" w:lineRule="auto"/>
        <w:jc w:val="both"/>
        <w:rPr>
          <w:rFonts w:ascii="Arial" w:eastAsia="Arial" w:hAnsi="Arial" w:cs="Arial"/>
          <w:sz w:val="24"/>
          <w:szCs w:val="24"/>
        </w:rPr>
      </w:pPr>
      <w:r w:rsidRPr="004C2926">
        <w:rPr>
          <w:rFonts w:ascii="Arial" w:eastAsia="Arial" w:hAnsi="Arial" w:cs="Arial"/>
          <w:sz w:val="24"/>
          <w:szCs w:val="24"/>
        </w:rPr>
        <w:t>O I e II Inquérito Nacional sobre Insegurança Alimentar no Brasil, realizados pela Rede PENSSAN, apontam que a insegurança alimentar varia conforme fatores como cor, gênero, renda e escolaridade. Os dados indicam que as mulheres negras são as mais impactadas pela fome, com um aumento considerável da insegurança alimentar nas famílias lideradas por pessoas negras. A pesquisa revela que a fome afeta de maneira mais grave as famílias com menor poder aquisitivo, especialmente as chefiadas por mulheres. A desigualdade entre os gêneros é evidente, com uma taxa de fome maior em lares liderados por mulheres, refletindo desigualdades salariais e sociais. A obra "Quarto de Despejo", de Carolina Maria de Jesus, é utilizada neste estudo como uma fonte importante para compreender a experiência da fome, principalmente em contextos de vulnerabilidade social e racial. A análise dos diários de Carolina, por meio da metodologia de Análise Textual Discursiva, busca entender a relação entre a fome e os fatores socioeconômicos, históricos e políticos. O estudo destaca como a fome não é apenas um problema biológico, mas uma questão social que está ligada a um modelo econômico desigual, que afeta principalmente mulheres negras. A experiência de Carolina revela a fome como uma vivência marcada pela exclusão, reforçando a importância de uma abordagem crítica e multidimensional para combater esse problema.</w:t>
      </w:r>
    </w:p>
    <w:p w14:paraId="5D25DABF" w14:textId="09A02EE9"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Geografia</w:t>
      </w:r>
      <w:r w:rsidR="004C2926">
        <w:rPr>
          <w:rFonts w:ascii="Arial" w:eastAsia="Arial" w:hAnsi="Arial" w:cs="Arial"/>
          <w:sz w:val="24"/>
          <w:szCs w:val="24"/>
        </w:rPr>
        <w:t xml:space="preserve"> Literária</w:t>
      </w:r>
      <w:r>
        <w:rPr>
          <w:rFonts w:ascii="Arial" w:eastAsia="Arial" w:hAnsi="Arial" w:cs="Arial"/>
          <w:sz w:val="24"/>
          <w:szCs w:val="24"/>
        </w:rPr>
        <w:t xml:space="preserve">; </w:t>
      </w:r>
      <w:r w:rsidR="004C2926">
        <w:rPr>
          <w:rFonts w:ascii="Arial" w:eastAsia="Arial" w:hAnsi="Arial" w:cs="Arial"/>
          <w:sz w:val="24"/>
          <w:szCs w:val="24"/>
        </w:rPr>
        <w:t>Fome</w:t>
      </w:r>
      <w:r>
        <w:rPr>
          <w:rFonts w:ascii="Arial" w:eastAsia="Arial" w:hAnsi="Arial" w:cs="Arial"/>
          <w:sz w:val="24"/>
          <w:szCs w:val="24"/>
        </w:rPr>
        <w:t xml:space="preserve">; </w:t>
      </w:r>
      <w:r w:rsidR="004C2926">
        <w:rPr>
          <w:rFonts w:ascii="Arial" w:eastAsia="Arial" w:hAnsi="Arial" w:cs="Arial"/>
          <w:sz w:val="24"/>
          <w:szCs w:val="24"/>
        </w:rPr>
        <w:t>Racismo</w:t>
      </w:r>
      <w:r>
        <w:rPr>
          <w:rFonts w:ascii="Arial" w:eastAsia="Arial" w:hAnsi="Arial" w:cs="Arial"/>
          <w:sz w:val="24"/>
          <w:szCs w:val="24"/>
        </w:rPr>
        <w:t>.</w:t>
      </w:r>
    </w:p>
    <w:p w14:paraId="1045C54E"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6AD063F1" w14:textId="77777777" w:rsidR="004C2926" w:rsidRDefault="004C2926" w:rsidP="00D17C15">
      <w:pPr>
        <w:spacing w:before="240" w:after="240" w:line="360" w:lineRule="auto"/>
        <w:jc w:val="both"/>
        <w:rPr>
          <w:rFonts w:ascii="Arial" w:eastAsia="Arial" w:hAnsi="Arial" w:cs="Arial"/>
          <w:sz w:val="24"/>
          <w:szCs w:val="24"/>
          <w:lang w:val="en-US"/>
        </w:rPr>
      </w:pPr>
      <w:r w:rsidRPr="004C2926">
        <w:rPr>
          <w:rFonts w:ascii="Arial" w:eastAsia="Arial" w:hAnsi="Arial" w:cs="Arial"/>
          <w:sz w:val="24"/>
          <w:szCs w:val="24"/>
          <w:lang w:val="en-US"/>
        </w:rPr>
        <w:lastRenderedPageBreak/>
        <w:t xml:space="preserve">The I and II National Surveys on Food Insecurity in Brazil, conducted by the PENSSAN Network, show that food insecurity varies according to factors such as race, gender, income, and education. The data indicates that Black women are most affected by hunger, with a significant increase in food insecurity in households led by Black individuals. The research reveals that hunger disproportionately affects families with lower purchasing power, particularly those headed by women. Gender inequality is evident, with a higher hunger rate in female-led households, reflecting wage and social inequalities. Carolina Maria de Jesus's work, </w:t>
      </w:r>
      <w:r w:rsidRPr="004C2926">
        <w:rPr>
          <w:rFonts w:ascii="Arial" w:eastAsia="Arial" w:hAnsi="Arial" w:cs="Arial"/>
          <w:i/>
          <w:iCs/>
          <w:sz w:val="24"/>
          <w:szCs w:val="24"/>
          <w:lang w:val="en-US"/>
        </w:rPr>
        <w:t xml:space="preserve">Quarto de </w:t>
      </w:r>
      <w:proofErr w:type="spellStart"/>
      <w:r w:rsidRPr="004C2926">
        <w:rPr>
          <w:rFonts w:ascii="Arial" w:eastAsia="Arial" w:hAnsi="Arial" w:cs="Arial"/>
          <w:i/>
          <w:iCs/>
          <w:sz w:val="24"/>
          <w:szCs w:val="24"/>
          <w:lang w:val="en-US"/>
        </w:rPr>
        <w:t>Despejo</w:t>
      </w:r>
      <w:proofErr w:type="spellEnd"/>
      <w:r w:rsidRPr="004C2926">
        <w:rPr>
          <w:rFonts w:ascii="Arial" w:eastAsia="Arial" w:hAnsi="Arial" w:cs="Arial"/>
          <w:sz w:val="24"/>
          <w:szCs w:val="24"/>
          <w:lang w:val="en-US"/>
        </w:rPr>
        <w:t>, is used in this study as an essential source to understand the experience of hunger, particularly in contexts of social and racial vulnerability. The analysis of Carolina's diaries, through the methodology of Discourse Textual Analysis, aims to understand the relationship between hunger and socio-economic, historical, and political factors. The study emphasizes how hunger is not just a biological issue but a social one tied to an unequal economic model that primarily impacts Black women. Carolina's experience reveals hunger as a condition marked by exclusion, underscoring the importance of a critical, multidimensional approach to combat this problem.</w:t>
      </w:r>
    </w:p>
    <w:p w14:paraId="55EFC15D" w14:textId="10C7E19A" w:rsidR="00D17C15" w:rsidRPr="004C2926" w:rsidRDefault="00D17C15" w:rsidP="00D17C15">
      <w:pPr>
        <w:spacing w:before="240" w:after="240" w:line="36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4C2926" w:rsidRPr="004C2926">
        <w:rPr>
          <w:rFonts w:ascii="Arial" w:eastAsia="Arial" w:hAnsi="Arial" w:cs="Arial"/>
          <w:sz w:val="24"/>
          <w:szCs w:val="24"/>
          <w:lang w:val="en-US"/>
        </w:rPr>
        <w:t>Literary Geography; Hunger; Racism.</w:t>
      </w:r>
    </w:p>
    <w:p w14:paraId="69D9EA4B" w14:textId="77777777" w:rsidR="00D17C15" w:rsidRDefault="00806186" w:rsidP="00D17C15">
      <w:pPr>
        <w:spacing w:before="240" w:after="240"/>
        <w:jc w:val="both"/>
        <w:rPr>
          <w:rFonts w:ascii="Arial" w:eastAsia="Arial" w:hAnsi="Arial" w:cs="Arial"/>
          <w:sz w:val="24"/>
          <w:szCs w:val="24"/>
        </w:rPr>
      </w:pPr>
      <w:r>
        <w:pict w14:anchorId="53C20772">
          <v:rect id="_x0000_i1026" style="width:0;height:1.5pt" o:hralign="center" o:hrstd="t" o:hr="t" fillcolor="#a0a0a0" stroked="f"/>
        </w:pict>
      </w:r>
    </w:p>
    <w:p w14:paraId="67FE3375" w14:textId="77777777" w:rsidR="00D17C15" w:rsidRDefault="00D17C15" w:rsidP="00D17C15">
      <w:pPr>
        <w:pStyle w:val="Ttulo2"/>
        <w:keepNext w:val="0"/>
        <w:keepLines w:val="0"/>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t xml:space="preserve">1. </w:t>
      </w:r>
      <w:r w:rsidR="00C71E09">
        <w:rPr>
          <w:rFonts w:ascii="Arial" w:eastAsia="Arial" w:hAnsi="Arial" w:cs="Arial"/>
          <w:sz w:val="24"/>
          <w:szCs w:val="24"/>
        </w:rPr>
        <w:t>Introdução</w:t>
      </w:r>
    </w:p>
    <w:p w14:paraId="7B969AD4" w14:textId="77777777" w:rsidR="00FD1D13" w:rsidRPr="00FD1D13" w:rsidRDefault="00FD1D13" w:rsidP="00FD1D13">
      <w:pPr>
        <w:spacing w:before="240" w:after="240" w:line="360" w:lineRule="auto"/>
        <w:ind w:firstLine="720"/>
        <w:jc w:val="both"/>
        <w:rPr>
          <w:rFonts w:ascii="Arial" w:eastAsia="Arial" w:hAnsi="Arial" w:cs="Arial"/>
          <w:sz w:val="24"/>
          <w:szCs w:val="24"/>
        </w:rPr>
      </w:pPr>
      <w:r w:rsidRPr="00FD1D13">
        <w:rPr>
          <w:rFonts w:ascii="Arial" w:eastAsia="Arial" w:hAnsi="Arial" w:cs="Arial"/>
          <w:sz w:val="24"/>
          <w:szCs w:val="24"/>
        </w:rPr>
        <w:t>Dois levantamentos, o I e o II Inquérito Nacional sobre Insegurança Alimentar no Contexto da Pandemia da Covid-19 no Brasil (2021; 2023, respectivamente), conduzidos pela Rede Brasileira de Pesquisa em Soberania e Segurança Alimentar e Nutricional, conhecida como Rede PENSSAN, revelam que o grau de Insegurança Alimentar das famílias varia conforme cor, gênero, nível de renda, escolaridade, tipo de ocupação ou situação de desemprego dos responsáveis pelos domicílios e a presença de menores de idade.</w:t>
      </w:r>
    </w:p>
    <w:p w14:paraId="5BBEA1DD" w14:textId="77777777" w:rsidR="00FD1D13" w:rsidRPr="00FD1D13" w:rsidRDefault="00FD1D13" w:rsidP="00FD1D13">
      <w:pPr>
        <w:spacing w:before="240" w:after="240" w:line="360" w:lineRule="auto"/>
        <w:ind w:firstLine="720"/>
        <w:jc w:val="both"/>
        <w:rPr>
          <w:rFonts w:ascii="Arial" w:eastAsia="Arial" w:hAnsi="Arial" w:cs="Arial"/>
          <w:sz w:val="24"/>
          <w:szCs w:val="24"/>
        </w:rPr>
      </w:pPr>
      <w:r w:rsidRPr="00FD1D13">
        <w:rPr>
          <w:rFonts w:ascii="Arial" w:eastAsia="Arial" w:hAnsi="Arial" w:cs="Arial"/>
          <w:sz w:val="24"/>
          <w:szCs w:val="24"/>
        </w:rPr>
        <w:t>Os estudos demonstram que, no Brasil, as mulheres negras são as mais afetadas pela fome e pela Insegurança Alimentar. Ao comparar e analisar os dados dos dois inquéritos</w:t>
      </w:r>
      <w:proofErr w:type="gramStart"/>
      <w:r w:rsidRPr="00FD1D13">
        <w:rPr>
          <w:rFonts w:ascii="Arial" w:eastAsia="Arial" w:hAnsi="Arial" w:cs="Arial"/>
          <w:sz w:val="24"/>
          <w:szCs w:val="24"/>
        </w:rPr>
        <w:t>, observa-se</w:t>
      </w:r>
      <w:proofErr w:type="gramEnd"/>
      <w:r w:rsidRPr="00FD1D13">
        <w:rPr>
          <w:rFonts w:ascii="Arial" w:eastAsia="Arial" w:hAnsi="Arial" w:cs="Arial"/>
          <w:sz w:val="24"/>
          <w:szCs w:val="24"/>
        </w:rPr>
        <w:t xml:space="preserve"> que “enquanto na população negra houve um </w:t>
      </w:r>
      <w:r w:rsidRPr="00FD1D13">
        <w:rPr>
          <w:rFonts w:ascii="Arial" w:eastAsia="Arial" w:hAnsi="Arial" w:cs="Arial"/>
          <w:sz w:val="24"/>
          <w:szCs w:val="24"/>
        </w:rPr>
        <w:lastRenderedPageBreak/>
        <w:t xml:space="preserve">crescimento superior a 60% na proporção de pessoas convivendo com a fome, entre brancos esse aumento foi de 34,6%” (REDE PENSSAN, 2023). Segundo esses dados, a Insegurança Alimentar atinge mais intensamente domicílios onde a pessoa de referência se autodeclara Preta ou Parda. Enquanto a Segurança Alimentar está presente em 53,2% dos lares chefiados por pessoas Brancas, esse percentual cai para 35% nos lares </w:t>
      </w:r>
      <w:proofErr w:type="gramStart"/>
      <w:r w:rsidRPr="00FD1D13">
        <w:rPr>
          <w:rFonts w:ascii="Arial" w:eastAsia="Arial" w:hAnsi="Arial" w:cs="Arial"/>
          <w:sz w:val="24"/>
          <w:szCs w:val="24"/>
        </w:rPr>
        <w:t>sob responsabilidade</w:t>
      </w:r>
      <w:proofErr w:type="gramEnd"/>
      <w:r w:rsidRPr="00FD1D13">
        <w:rPr>
          <w:rFonts w:ascii="Arial" w:eastAsia="Arial" w:hAnsi="Arial" w:cs="Arial"/>
          <w:sz w:val="24"/>
          <w:szCs w:val="24"/>
        </w:rPr>
        <w:t xml:space="preserve"> de pessoas Pretas ou Pardas. Além disso, entre 2020 e 2022, a Insegurança Alimentar nesses lares passou de 68,5% para 75% (REDE PENSSAN, 2023).</w:t>
      </w:r>
    </w:p>
    <w:p w14:paraId="3B547606" w14:textId="77777777" w:rsidR="00FD1D13" w:rsidRPr="00FD1D13" w:rsidRDefault="00FD1D13" w:rsidP="00FD1D13">
      <w:pPr>
        <w:spacing w:before="240" w:after="240" w:line="360" w:lineRule="auto"/>
        <w:ind w:firstLine="720"/>
        <w:jc w:val="both"/>
        <w:rPr>
          <w:rFonts w:ascii="Arial" w:eastAsia="Arial" w:hAnsi="Arial" w:cs="Arial"/>
          <w:sz w:val="24"/>
          <w:szCs w:val="24"/>
        </w:rPr>
      </w:pPr>
      <w:r w:rsidRPr="00FD1D13">
        <w:rPr>
          <w:rFonts w:ascii="Arial" w:eastAsia="Arial" w:hAnsi="Arial" w:cs="Arial"/>
          <w:sz w:val="24"/>
          <w:szCs w:val="24"/>
        </w:rPr>
        <w:t xml:space="preserve">A relação entre Insegurança Alimentar e fatores como gênero, raça e classe social é incontestável. Entre as famílias com renda per capita de até 1/4 do salário mínimo, 43% enfrentam a fome, especialmente aquelas lideradas por mulheres ou por pessoas autodeclaradas de cor/raça Preta ou Parda. Dessa forma, seis em cada 10 lares </w:t>
      </w:r>
      <w:proofErr w:type="gramStart"/>
      <w:r w:rsidRPr="00FD1D13">
        <w:rPr>
          <w:rFonts w:ascii="Arial" w:eastAsia="Arial" w:hAnsi="Arial" w:cs="Arial"/>
          <w:sz w:val="24"/>
          <w:szCs w:val="24"/>
        </w:rPr>
        <w:t>sob responsabilidade</w:t>
      </w:r>
      <w:proofErr w:type="gramEnd"/>
      <w:r w:rsidRPr="00FD1D13">
        <w:rPr>
          <w:rFonts w:ascii="Arial" w:eastAsia="Arial" w:hAnsi="Arial" w:cs="Arial"/>
          <w:sz w:val="24"/>
          <w:szCs w:val="24"/>
        </w:rPr>
        <w:t xml:space="preserve"> feminina vivenciam a Insegurança Alimentar. Quando a mulher é a pessoa de referência, a incidência de fome é ainda maior em comparação com os lares onde os homens ocupam essa posição, possivelmente devido à desigualdade salarial entre os gêneros. O II Inquérito Nacional sobre Insegurança Alimentar no Contexto da Pandemia da Covid-19 no Brasil revela uma diferença expressiva entre gêneros: 19,3% das famílias lideradas por mulheres estão expostas à fome, enquanto entre os homens essa taxa cai para 11,9%. Essa desigualdade é ainda mais acentuada do que a registrada em 2020, quando os índices eram de 11,2% e 7%, respectivamente.</w:t>
      </w:r>
    </w:p>
    <w:p w14:paraId="6170FA0E" w14:textId="6B094789" w:rsidR="00C25D3B" w:rsidRPr="00C25D3B" w:rsidRDefault="00C25D3B" w:rsidP="00C25D3B">
      <w:pPr>
        <w:spacing w:before="240" w:after="240" w:line="360" w:lineRule="auto"/>
        <w:ind w:firstLine="720"/>
        <w:jc w:val="both"/>
        <w:rPr>
          <w:rFonts w:ascii="Arial" w:eastAsia="Arial" w:hAnsi="Arial" w:cs="Arial"/>
          <w:bCs/>
          <w:sz w:val="24"/>
          <w:szCs w:val="24"/>
        </w:rPr>
      </w:pPr>
      <w:r w:rsidRPr="00C25D3B">
        <w:rPr>
          <w:rFonts w:ascii="Arial" w:eastAsia="Arial" w:hAnsi="Arial" w:cs="Arial"/>
          <w:sz w:val="24"/>
          <w:szCs w:val="24"/>
        </w:rPr>
        <w:t xml:space="preserve">Tentar entender a partir da experiência e da narrativa dessas vitimas da fome deve ser imprescindível para sua erradicação em nível local, regional e até mesmo global. </w:t>
      </w:r>
      <w:r w:rsidRPr="00C25D3B">
        <w:rPr>
          <w:rFonts w:ascii="Arial" w:eastAsia="Arial" w:hAnsi="Arial" w:cs="Arial"/>
          <w:bCs/>
          <w:sz w:val="24"/>
          <w:szCs w:val="24"/>
        </w:rPr>
        <w:t xml:space="preserve">Houve mudanças de governos, presidentes, vereadores, deputados e governadores, mas não houve mudança sobre a inequidade alimentar da população brasileira. </w:t>
      </w:r>
      <w:r w:rsidRPr="00C25D3B">
        <w:rPr>
          <w:rFonts w:ascii="Arial" w:eastAsia="Arial" w:hAnsi="Arial" w:cs="Arial"/>
          <w:sz w:val="24"/>
          <w:szCs w:val="24"/>
        </w:rPr>
        <w:t>Como bem nos escreve</w:t>
      </w:r>
      <w:r w:rsidRPr="00C25D3B">
        <w:rPr>
          <w:rFonts w:ascii="Arial" w:eastAsia="Arial" w:hAnsi="Arial" w:cs="Arial"/>
          <w:bCs/>
          <w:sz w:val="24"/>
          <w:szCs w:val="24"/>
        </w:rPr>
        <w:t xml:space="preserve"> Carolina Maria de Jesus, “De quatro em quatro anos muda-se os políticos e não soluciona a fome, que tem a sua matriz nas favelas e as sucursais nos lares operários.” (JESUS</w:t>
      </w:r>
      <w:r w:rsidR="00D250AC">
        <w:rPr>
          <w:rFonts w:ascii="Arial" w:eastAsia="Arial" w:hAnsi="Arial" w:cs="Arial"/>
          <w:bCs/>
          <w:sz w:val="24"/>
          <w:szCs w:val="24"/>
        </w:rPr>
        <w:t>, 2014</w:t>
      </w:r>
      <w:r w:rsidRPr="00C25D3B">
        <w:rPr>
          <w:rFonts w:ascii="Arial" w:eastAsia="Arial" w:hAnsi="Arial" w:cs="Arial"/>
          <w:bCs/>
          <w:sz w:val="24"/>
          <w:szCs w:val="24"/>
        </w:rPr>
        <w:t xml:space="preserve">, p. 40). </w:t>
      </w:r>
    </w:p>
    <w:p w14:paraId="1851E3F4" w14:textId="77777777" w:rsid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 xml:space="preserve">É nesse ponto que a vida e obra de Carolina Maria de Jesus emergem como um recurso fundamental para articular essas dimensões, oferecendo uma narrativa </w:t>
      </w:r>
      <w:r w:rsidRPr="00C25D3B">
        <w:rPr>
          <w:rFonts w:ascii="Arial" w:eastAsia="Arial" w:hAnsi="Arial" w:cs="Arial"/>
          <w:sz w:val="24"/>
          <w:szCs w:val="24"/>
        </w:rPr>
        <w:lastRenderedPageBreak/>
        <w:t>que conecta a experiência individual da fome às contradições do modelo econômico e às condições históricas que a sustentam.</w:t>
      </w:r>
    </w:p>
    <w:p w14:paraId="2A271BC6" w14:textId="496C36D4" w:rsid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Neste estudo busca-se analisar os valores e significados da fome na obra Quarto de Despejo: O Diário de uma Favelada d</w:t>
      </w:r>
      <w:r w:rsidR="00D250AC">
        <w:rPr>
          <w:rFonts w:ascii="Arial" w:eastAsia="Arial" w:hAnsi="Arial" w:cs="Arial"/>
          <w:sz w:val="24"/>
          <w:szCs w:val="24"/>
        </w:rPr>
        <w:t>e Carolina Maria de Jesus (2014</w:t>
      </w:r>
      <w:r w:rsidRPr="00C25D3B">
        <w:rPr>
          <w:rFonts w:ascii="Arial" w:eastAsia="Arial" w:hAnsi="Arial" w:cs="Arial"/>
          <w:sz w:val="24"/>
          <w:szCs w:val="24"/>
        </w:rPr>
        <w:t xml:space="preserve">), que é uma das literaturas brasileiras de conteúdos valiosos para a geografia, para contribuir para a compreensão do fenômeno da fome na sociedade Brasileira, ressaltando não apenas a </w:t>
      </w:r>
      <w:proofErr w:type="spellStart"/>
      <w:r w:rsidRPr="00C25D3B">
        <w:rPr>
          <w:rFonts w:ascii="Arial" w:eastAsia="Arial" w:hAnsi="Arial" w:cs="Arial"/>
          <w:sz w:val="24"/>
          <w:szCs w:val="24"/>
        </w:rPr>
        <w:t>geografícidade</w:t>
      </w:r>
      <w:proofErr w:type="spellEnd"/>
      <w:r w:rsidRPr="00C25D3B">
        <w:rPr>
          <w:rFonts w:ascii="Arial" w:eastAsia="Arial" w:hAnsi="Arial" w:cs="Arial"/>
          <w:sz w:val="24"/>
          <w:szCs w:val="24"/>
        </w:rPr>
        <w:t xml:space="preserve"> dos conceitos relacionados, mas principalmente os aspectos simbólicos e humanos de sua </w:t>
      </w:r>
      <w:proofErr w:type="spellStart"/>
      <w:proofErr w:type="gramStart"/>
      <w:r w:rsidRPr="00C25D3B">
        <w:rPr>
          <w:rFonts w:ascii="Arial" w:eastAsia="Arial" w:hAnsi="Arial" w:cs="Arial"/>
          <w:sz w:val="24"/>
          <w:szCs w:val="24"/>
        </w:rPr>
        <w:t>escrevivência</w:t>
      </w:r>
      <w:proofErr w:type="spellEnd"/>
      <w:r w:rsidRPr="00C25D3B">
        <w:rPr>
          <w:rFonts w:ascii="Arial" w:eastAsia="Arial" w:hAnsi="Arial" w:cs="Arial"/>
          <w:sz w:val="24"/>
          <w:szCs w:val="24"/>
        </w:rPr>
        <w:t xml:space="preserve"> .</w:t>
      </w:r>
      <w:proofErr w:type="gramEnd"/>
    </w:p>
    <w:p w14:paraId="1E090525" w14:textId="6EFFB832" w:rsidR="00D17C15"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 xml:space="preserve">Como objetivos específicos, aos quais vão nos guiar para a realização do nosso objetivo principal, </w:t>
      </w:r>
      <w:r w:rsidRPr="00C25D3B">
        <w:rPr>
          <w:rFonts w:ascii="Arial" w:eastAsia="Arial" w:hAnsi="Arial" w:cs="Arial"/>
          <w:i/>
          <w:sz w:val="24"/>
          <w:szCs w:val="24"/>
        </w:rPr>
        <w:t>vamos destacar a importância das obras literárias e das expressões artísticas como fontes de investigação para a ciência geográfica</w:t>
      </w:r>
      <w:r w:rsidRPr="00C25D3B">
        <w:rPr>
          <w:rFonts w:ascii="Arial" w:eastAsia="Arial" w:hAnsi="Arial" w:cs="Arial"/>
          <w:sz w:val="24"/>
          <w:szCs w:val="24"/>
        </w:rPr>
        <w:t xml:space="preserve">, mais especificamente a corrente humanística da geografia, para então em seguida </w:t>
      </w:r>
      <w:r w:rsidRPr="00C25D3B">
        <w:rPr>
          <w:rFonts w:ascii="Arial" w:eastAsia="Arial" w:hAnsi="Arial" w:cs="Arial"/>
          <w:i/>
          <w:sz w:val="24"/>
          <w:szCs w:val="24"/>
        </w:rPr>
        <w:t>investigar como a fome é evidenciada nos diários de Carolina</w:t>
      </w:r>
      <w:r w:rsidRPr="00C25D3B">
        <w:rPr>
          <w:rFonts w:ascii="Arial" w:eastAsia="Arial" w:hAnsi="Arial" w:cs="Arial"/>
          <w:sz w:val="24"/>
          <w:szCs w:val="24"/>
        </w:rPr>
        <w:t xml:space="preserve"> e </w:t>
      </w:r>
      <w:r w:rsidRPr="00C25D3B">
        <w:rPr>
          <w:rFonts w:ascii="Arial" w:eastAsia="Arial" w:hAnsi="Arial" w:cs="Arial"/>
          <w:i/>
          <w:sz w:val="24"/>
          <w:szCs w:val="24"/>
        </w:rPr>
        <w:t xml:space="preserve">contribuir para a compreensão da relação do modelo econômico capitalista com a produção da fome no Brasil, </w:t>
      </w:r>
      <w:r w:rsidRPr="00C25D3B">
        <w:rPr>
          <w:rFonts w:ascii="Arial" w:eastAsia="Arial" w:hAnsi="Arial" w:cs="Arial"/>
          <w:sz w:val="24"/>
          <w:szCs w:val="24"/>
        </w:rPr>
        <w:t>visto que as mulheres negras em um arranjo familiar matriarcal, no Brasil vêm sendo fundamentalmente o mais atingido pela fome pelas consequências de uma sociedade capitalista</w:t>
      </w:r>
      <w:r w:rsidRPr="00C25D3B">
        <w:rPr>
          <w:rFonts w:ascii="Arial" w:eastAsia="Arial" w:hAnsi="Arial" w:cs="Arial"/>
          <w:i/>
          <w:sz w:val="24"/>
          <w:szCs w:val="24"/>
        </w:rPr>
        <w:t>.</w:t>
      </w:r>
      <w:r w:rsidRPr="00C25D3B">
        <w:rPr>
          <w:rFonts w:ascii="Arial" w:eastAsia="Arial" w:hAnsi="Arial" w:cs="Arial"/>
          <w:sz w:val="24"/>
          <w:szCs w:val="24"/>
        </w:rPr>
        <w:t xml:space="preserve"> </w:t>
      </w:r>
    </w:p>
    <w:p w14:paraId="363C21C2" w14:textId="1937D6C7" w:rsid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 xml:space="preserve">O presente trabalho se justifica pela necessidade de entender uma realidade, remota e atual, inadmissível, mas que já se tornou banal no cotidiano do brasileiro: a existência de pessoas em situação de fome e de miséria. </w:t>
      </w:r>
    </w:p>
    <w:p w14:paraId="5B1716A9" w14:textId="77777777" w:rsidR="00D17C15" w:rsidRDefault="00D17C15" w:rsidP="00D17C15">
      <w:pPr>
        <w:pStyle w:val="Ttulo2"/>
        <w:keepNext w:val="0"/>
        <w:keepLines w:val="0"/>
        <w:jc w:val="both"/>
        <w:rPr>
          <w:rFonts w:ascii="Arial" w:eastAsia="Arial" w:hAnsi="Arial" w:cs="Arial"/>
          <w:sz w:val="24"/>
          <w:szCs w:val="24"/>
        </w:rPr>
      </w:pPr>
      <w:bookmarkStart w:id="1" w:name="_pcn4zwrzdkyd" w:colFirst="0" w:colLast="0"/>
      <w:bookmarkEnd w:id="1"/>
      <w:r>
        <w:rPr>
          <w:rFonts w:ascii="Arial" w:eastAsia="Arial" w:hAnsi="Arial" w:cs="Arial"/>
          <w:sz w:val="24"/>
          <w:szCs w:val="24"/>
        </w:rPr>
        <w:t xml:space="preserve">2. </w:t>
      </w:r>
      <w:r w:rsidR="00C71E09">
        <w:rPr>
          <w:rFonts w:ascii="Arial" w:eastAsia="Arial" w:hAnsi="Arial" w:cs="Arial"/>
          <w:sz w:val="24"/>
          <w:szCs w:val="24"/>
        </w:rPr>
        <w:t>Metodologia</w:t>
      </w:r>
    </w:p>
    <w:p w14:paraId="76795120" w14:textId="77777777" w:rsidR="00C25D3B" w:rsidRP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 xml:space="preserve">Para a análise dos diários de Carolina será utilizado à metodologia da Analise Textual Discursiva - ATD que consiste em “uma abordagem de análise de dados que transita entre duas formas consagradas de análise na pesquisa qualitativa que são a </w:t>
      </w:r>
      <w:r w:rsidRPr="00C25D3B">
        <w:rPr>
          <w:rFonts w:ascii="Arial" w:eastAsia="Arial" w:hAnsi="Arial" w:cs="Arial"/>
          <w:i/>
          <w:sz w:val="24"/>
          <w:szCs w:val="24"/>
        </w:rPr>
        <w:t>análise de conteúdo</w:t>
      </w:r>
      <w:r w:rsidRPr="00C25D3B">
        <w:rPr>
          <w:rFonts w:ascii="Arial" w:eastAsia="Arial" w:hAnsi="Arial" w:cs="Arial"/>
          <w:sz w:val="24"/>
          <w:szCs w:val="24"/>
        </w:rPr>
        <w:t xml:space="preserve"> e a </w:t>
      </w:r>
      <w:r w:rsidRPr="00C25D3B">
        <w:rPr>
          <w:rFonts w:ascii="Arial" w:eastAsia="Arial" w:hAnsi="Arial" w:cs="Arial"/>
          <w:i/>
          <w:sz w:val="24"/>
          <w:szCs w:val="24"/>
        </w:rPr>
        <w:t>análise de discurso</w:t>
      </w:r>
      <w:r w:rsidRPr="00C25D3B">
        <w:rPr>
          <w:rFonts w:ascii="Arial" w:eastAsia="Arial" w:hAnsi="Arial" w:cs="Arial"/>
          <w:sz w:val="24"/>
          <w:szCs w:val="24"/>
        </w:rPr>
        <w:t xml:space="preserve">.” (MORAES; GALIAZZI, 2006, p. 118). Em outras palavras, é uma metodologia emergente de análise em pesquisas qualitativas, que se situa entre a Análise de Discurso, que trabalha com o sentido do discurso, considerando a relação entre o sujeito e as condições geográficas, histórico-ideológicas e contextuais de quem a o produziu, e a Análise de Conteúdo, </w:t>
      </w:r>
      <w:r w:rsidRPr="00C25D3B">
        <w:rPr>
          <w:rFonts w:ascii="Arial" w:eastAsia="Arial" w:hAnsi="Arial" w:cs="Arial"/>
          <w:sz w:val="24"/>
          <w:szCs w:val="24"/>
        </w:rPr>
        <w:lastRenderedPageBreak/>
        <w:t xml:space="preserve">que se concentra no conteúdo do texto, “usada para descrever e interpretar o conteúdo de toda classe de documentos e textos. Essa análise ajuda a reinterpretar as mensagens e a atingir uma compreensão de seus significados num nível que vai além de uma leitura comum” (MORAES, 1999, p. 2). </w:t>
      </w:r>
    </w:p>
    <w:p w14:paraId="0947007F" w14:textId="34D57A3A" w:rsidR="00C25D3B" w:rsidRP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O materialismo histórico dialético permite analisar, a luz da geografia, a fome não apenas como um problema epidêmico, mas como um fenômeno crônico nas estruturas econômicas e sociais historicamente produzidas. Compreende-se aqui que este método é de suma importância para entender o processo do qual se está pesquisando. A análise e a interpretação dos significados da fome por Carolina necessitam de uma abordagem que considera os fatores socioeconômicos, históricos e políticos pressupostos à sua ocorrência. Ao mesmo tempo em que entender a multidimensionalidade do fenômeno da fome, envolve uma abordagem</w:t>
      </w:r>
      <w:r w:rsidR="00FD1D13">
        <w:rPr>
          <w:rFonts w:ascii="Arial" w:eastAsia="Arial" w:hAnsi="Arial" w:cs="Arial"/>
          <w:sz w:val="24"/>
          <w:szCs w:val="24"/>
        </w:rPr>
        <w:t xml:space="preserve"> fenomenológica</w:t>
      </w:r>
      <w:proofErr w:type="gramStart"/>
      <w:r w:rsidR="00FD1D13">
        <w:rPr>
          <w:rFonts w:ascii="Arial" w:eastAsia="Arial" w:hAnsi="Arial" w:cs="Arial"/>
          <w:sz w:val="24"/>
          <w:szCs w:val="24"/>
        </w:rPr>
        <w:t xml:space="preserve"> </w:t>
      </w:r>
      <w:r w:rsidRPr="00C25D3B">
        <w:rPr>
          <w:rFonts w:ascii="Arial" w:eastAsia="Arial" w:hAnsi="Arial" w:cs="Arial"/>
          <w:sz w:val="24"/>
          <w:szCs w:val="24"/>
        </w:rPr>
        <w:t xml:space="preserve"> </w:t>
      </w:r>
      <w:proofErr w:type="gramEnd"/>
      <w:r w:rsidRPr="00C25D3B">
        <w:rPr>
          <w:rFonts w:ascii="Arial" w:eastAsia="Arial" w:hAnsi="Arial" w:cs="Arial"/>
          <w:sz w:val="24"/>
          <w:szCs w:val="24"/>
        </w:rPr>
        <w:t xml:space="preserve">que se concentra na experiência subjetiva daqueles que vivenciam a fome, que é o caso dos diários de Carolina Maria de Jesus (2014a). Nesse contexto, </w:t>
      </w:r>
      <w:proofErr w:type="spellStart"/>
      <w:r w:rsidRPr="00C25D3B">
        <w:rPr>
          <w:rFonts w:ascii="Arial" w:eastAsia="Arial" w:hAnsi="Arial" w:cs="Arial"/>
          <w:sz w:val="24"/>
          <w:szCs w:val="24"/>
        </w:rPr>
        <w:t>Angelo</w:t>
      </w:r>
      <w:proofErr w:type="spellEnd"/>
      <w:r w:rsidRPr="00C25D3B">
        <w:rPr>
          <w:rFonts w:ascii="Arial" w:eastAsia="Arial" w:hAnsi="Arial" w:cs="Arial"/>
          <w:sz w:val="24"/>
          <w:szCs w:val="24"/>
        </w:rPr>
        <w:t xml:space="preserve"> Serpa, em seu livro Por uma Geografia dos Espaços Vividos, propõe o estudo da vivência humana a partir de uma perspectiva que integra a análise intersubjetiva da experiência e a investigação crítica da produção dos espaços que possibilitam tais experiências.  Essa abordagem crítica, de modo complementar, considera a exploração da experiência vivida, utilizando a Análise Textual Discursiva para capturar as experiências, percepções e significados atribuídos à fome pela Carolina. </w:t>
      </w:r>
    </w:p>
    <w:p w14:paraId="03EAC223" w14:textId="77777777" w:rsidR="00C25D3B" w:rsidRPr="00C25D3B" w:rsidRDefault="00C25D3B" w:rsidP="00C25D3B">
      <w:pPr>
        <w:spacing w:before="240" w:after="240" w:line="360" w:lineRule="auto"/>
        <w:ind w:firstLine="720"/>
        <w:jc w:val="both"/>
        <w:rPr>
          <w:rFonts w:ascii="Arial" w:eastAsia="Arial" w:hAnsi="Arial" w:cs="Arial"/>
          <w:sz w:val="24"/>
          <w:szCs w:val="24"/>
        </w:rPr>
      </w:pPr>
      <w:r w:rsidRPr="00C25D3B">
        <w:rPr>
          <w:rFonts w:ascii="Arial" w:eastAsia="Arial" w:hAnsi="Arial" w:cs="Arial"/>
          <w:sz w:val="24"/>
          <w:szCs w:val="24"/>
        </w:rPr>
        <w:t xml:space="preserve">Enquanto o Método do Materialismo Histórico Dialético oferece uma análise estrutural e sistêmica dos processos sociais, a fenomenologia crítica destaca a importância das experiências individuais e subjetivas na compreensão dos fenômenos como apontados por Ramos (1969) a partir da discussão dos elementos representativos, imaginários e fantasiosos das representações do espaço. </w:t>
      </w:r>
    </w:p>
    <w:p w14:paraId="6D955570" w14:textId="77777777" w:rsidR="00D17C15" w:rsidRDefault="00D17C15" w:rsidP="00D17C15">
      <w:pPr>
        <w:pStyle w:val="Ttulo2"/>
        <w:keepNext w:val="0"/>
        <w:keepLines w:val="0"/>
        <w:jc w:val="both"/>
        <w:rPr>
          <w:rFonts w:ascii="Arial" w:eastAsia="Arial" w:hAnsi="Arial" w:cs="Arial"/>
          <w:sz w:val="24"/>
          <w:szCs w:val="24"/>
        </w:rPr>
      </w:pPr>
      <w:bookmarkStart w:id="2" w:name="_c1wrm1ysj9z6" w:colFirst="0" w:colLast="0"/>
      <w:bookmarkEnd w:id="2"/>
      <w:r>
        <w:rPr>
          <w:rFonts w:ascii="Arial" w:eastAsia="Arial" w:hAnsi="Arial" w:cs="Arial"/>
          <w:sz w:val="24"/>
          <w:szCs w:val="24"/>
        </w:rPr>
        <w:t xml:space="preserve">3. </w:t>
      </w:r>
      <w:r w:rsidR="00C71E09">
        <w:rPr>
          <w:rFonts w:ascii="Arial" w:eastAsia="Arial" w:hAnsi="Arial" w:cs="Arial"/>
          <w:sz w:val="24"/>
          <w:szCs w:val="24"/>
        </w:rPr>
        <w:t>Resultados e Discussão</w:t>
      </w:r>
    </w:p>
    <w:p w14:paraId="1D6CECB4" w14:textId="0114621E" w:rsidR="00FD1D13" w:rsidRDefault="00FD1D13" w:rsidP="00FD1D13">
      <w:pPr>
        <w:spacing w:after="240" w:line="360" w:lineRule="auto"/>
        <w:ind w:firstLine="720"/>
        <w:jc w:val="both"/>
        <w:rPr>
          <w:rFonts w:ascii="Arial" w:eastAsia="Arial" w:hAnsi="Arial" w:cs="Arial"/>
          <w:sz w:val="24"/>
          <w:szCs w:val="24"/>
        </w:rPr>
      </w:pPr>
      <w:r w:rsidRPr="00FD1D13">
        <w:rPr>
          <w:rFonts w:ascii="Arial" w:eastAsia="Arial" w:hAnsi="Arial" w:cs="Arial"/>
          <w:sz w:val="24"/>
          <w:szCs w:val="24"/>
        </w:rPr>
        <w:t xml:space="preserve">Nossa pesquisa evidenciou que </w:t>
      </w:r>
      <w:r w:rsidRPr="00FD1D13">
        <w:rPr>
          <w:rFonts w:ascii="Arial" w:eastAsia="Arial" w:hAnsi="Arial" w:cs="Arial"/>
          <w:i/>
          <w:iCs/>
          <w:sz w:val="24"/>
          <w:szCs w:val="24"/>
        </w:rPr>
        <w:t>Quarto de Despejo</w:t>
      </w:r>
      <w:r w:rsidRPr="00FD1D13">
        <w:rPr>
          <w:rFonts w:ascii="Arial" w:eastAsia="Arial" w:hAnsi="Arial" w:cs="Arial"/>
          <w:sz w:val="24"/>
          <w:szCs w:val="24"/>
        </w:rPr>
        <w:t xml:space="preserve"> revelou mais sobre as intenções de </w:t>
      </w:r>
      <w:proofErr w:type="spellStart"/>
      <w:r w:rsidRPr="00FD1D13">
        <w:rPr>
          <w:rFonts w:ascii="Arial" w:eastAsia="Arial" w:hAnsi="Arial" w:cs="Arial"/>
          <w:sz w:val="24"/>
          <w:szCs w:val="24"/>
        </w:rPr>
        <w:t>Audálio</w:t>
      </w:r>
      <w:proofErr w:type="spellEnd"/>
      <w:r w:rsidRPr="00FD1D13">
        <w:rPr>
          <w:rFonts w:ascii="Arial" w:eastAsia="Arial" w:hAnsi="Arial" w:cs="Arial"/>
          <w:sz w:val="24"/>
          <w:szCs w:val="24"/>
        </w:rPr>
        <w:t xml:space="preserve"> Dantas do que sobre a própria Carolina Maria de Jesus. Trechos extraídos dos fragmentos de seus diários mostram sua indignação com o </w:t>
      </w:r>
      <w:r w:rsidRPr="00FD1D13">
        <w:rPr>
          <w:rFonts w:ascii="Arial" w:eastAsia="Arial" w:hAnsi="Arial" w:cs="Arial"/>
          <w:sz w:val="24"/>
          <w:szCs w:val="24"/>
        </w:rPr>
        <w:lastRenderedPageBreak/>
        <w:t>jornalista, pois se sentiu explorada pelo editor que lucrou com o livro enquanto, poucos anos após a fama, voltou a enfrentar a miséria e a fome.</w:t>
      </w:r>
    </w:p>
    <w:p w14:paraId="37BCAD1D" w14:textId="669DD56C" w:rsidR="00221ADA" w:rsidRPr="00221ADA" w:rsidRDefault="00221ADA" w:rsidP="00221ADA">
      <w:pPr>
        <w:spacing w:after="240" w:line="360" w:lineRule="auto"/>
        <w:ind w:firstLine="720"/>
        <w:jc w:val="both"/>
        <w:rPr>
          <w:rFonts w:ascii="Arial" w:eastAsia="Arial" w:hAnsi="Arial" w:cs="Arial"/>
          <w:sz w:val="24"/>
          <w:szCs w:val="24"/>
        </w:rPr>
      </w:pPr>
      <w:proofErr w:type="spellStart"/>
      <w:r w:rsidRPr="00221ADA">
        <w:rPr>
          <w:rFonts w:ascii="Arial" w:eastAsia="Arial" w:hAnsi="Arial" w:cs="Arial"/>
          <w:sz w:val="24"/>
          <w:szCs w:val="24"/>
        </w:rPr>
        <w:t>Elzira</w:t>
      </w:r>
      <w:proofErr w:type="spellEnd"/>
      <w:r w:rsidRPr="00221ADA">
        <w:rPr>
          <w:rFonts w:ascii="Arial" w:eastAsia="Arial" w:hAnsi="Arial" w:cs="Arial"/>
          <w:sz w:val="24"/>
          <w:szCs w:val="24"/>
        </w:rPr>
        <w:t xml:space="preserve"> Divina Perpétua (2003) aprofunda essa discussão ao analisar e comparar os manuscritos originais de Quarto de Despejo com a versão publicada. A pesquisadora demonstra que o texto passou por alterações significativas, incluindo acréscimos, substituições e supressões, com o objetivo de moldar uma identidade autoral uniforme. Essa identidade foi construída a partir de uma perspectiva que enfatizava exclusivamente a inserção social da autora como favelada e “analfabeta”, eliminando aspectos que revelavam su</w:t>
      </w:r>
      <w:r>
        <w:rPr>
          <w:rFonts w:ascii="Arial" w:eastAsia="Arial" w:hAnsi="Arial" w:cs="Arial"/>
          <w:sz w:val="24"/>
          <w:szCs w:val="24"/>
        </w:rPr>
        <w:t>a complexidade e subjetividade.</w:t>
      </w:r>
    </w:p>
    <w:p w14:paraId="3A495E50" w14:textId="5C4A0DFF" w:rsidR="00221ADA" w:rsidRPr="00FD1D13" w:rsidRDefault="00221ADA" w:rsidP="00221ADA">
      <w:pPr>
        <w:spacing w:after="240" w:line="360" w:lineRule="auto"/>
        <w:ind w:firstLine="720"/>
        <w:jc w:val="both"/>
        <w:rPr>
          <w:rFonts w:ascii="Arial" w:eastAsia="Arial" w:hAnsi="Arial" w:cs="Arial"/>
          <w:sz w:val="24"/>
          <w:szCs w:val="24"/>
        </w:rPr>
      </w:pPr>
      <w:r w:rsidRPr="00221ADA">
        <w:rPr>
          <w:rFonts w:ascii="Arial" w:eastAsia="Arial" w:hAnsi="Arial" w:cs="Arial"/>
          <w:sz w:val="24"/>
          <w:szCs w:val="24"/>
        </w:rPr>
        <w:t xml:space="preserve">Como afirma Perpétua (2003, p. 82): "Depois de ler Quarto de Despejo, sabemos o que ele encerra – mas não capturamos a imagem que Carolina produziu de si mesma nos manuscritos: complexa, multifacetada, </w:t>
      </w:r>
      <w:proofErr w:type="spellStart"/>
      <w:r w:rsidRPr="00221ADA">
        <w:rPr>
          <w:rFonts w:ascii="Arial" w:eastAsia="Arial" w:hAnsi="Arial" w:cs="Arial"/>
          <w:sz w:val="24"/>
          <w:szCs w:val="24"/>
        </w:rPr>
        <w:t>proteiforme</w:t>
      </w:r>
      <w:proofErr w:type="spellEnd"/>
      <w:r w:rsidRPr="00221ADA">
        <w:rPr>
          <w:rFonts w:ascii="Arial" w:eastAsia="Arial" w:hAnsi="Arial" w:cs="Arial"/>
          <w:sz w:val="24"/>
          <w:szCs w:val="24"/>
        </w:rPr>
        <w:t xml:space="preserve"> e até contraditória”. Essa análise evidencia como o processo editorial não apenas editou os escritos de Carolina, mas também redefiniu sua representação pública, restringindo sua voz a um recorte específico que apagava a riqueza de sua própria </w:t>
      </w:r>
      <w:proofErr w:type="spellStart"/>
      <w:r w:rsidRPr="00221ADA">
        <w:rPr>
          <w:rFonts w:ascii="Arial" w:eastAsia="Arial" w:hAnsi="Arial" w:cs="Arial"/>
          <w:sz w:val="24"/>
          <w:szCs w:val="24"/>
        </w:rPr>
        <w:t>autopercepção</w:t>
      </w:r>
      <w:proofErr w:type="spellEnd"/>
      <w:r w:rsidRPr="00221ADA">
        <w:rPr>
          <w:rFonts w:ascii="Arial" w:eastAsia="Arial" w:hAnsi="Arial" w:cs="Arial"/>
          <w:sz w:val="24"/>
          <w:szCs w:val="24"/>
        </w:rPr>
        <w:t>.</w:t>
      </w:r>
    </w:p>
    <w:p w14:paraId="76C177D9" w14:textId="77777777" w:rsidR="00FD1D13" w:rsidRPr="00FD1D13" w:rsidRDefault="00FD1D13" w:rsidP="00FD1D13">
      <w:pPr>
        <w:spacing w:after="240" w:line="360" w:lineRule="auto"/>
        <w:ind w:firstLine="720"/>
        <w:jc w:val="both"/>
        <w:rPr>
          <w:rFonts w:ascii="Arial" w:eastAsia="Arial" w:hAnsi="Arial" w:cs="Arial"/>
          <w:sz w:val="24"/>
          <w:szCs w:val="24"/>
        </w:rPr>
      </w:pPr>
      <w:r w:rsidRPr="00FD1D13">
        <w:rPr>
          <w:rFonts w:ascii="Arial" w:eastAsia="Arial" w:hAnsi="Arial" w:cs="Arial"/>
          <w:sz w:val="24"/>
          <w:szCs w:val="24"/>
        </w:rPr>
        <w:t xml:space="preserve">Carolina retrata uma vida marcada pelo racismo, pela segregação </w:t>
      </w:r>
      <w:proofErr w:type="spellStart"/>
      <w:r w:rsidRPr="00FD1D13">
        <w:rPr>
          <w:rFonts w:ascii="Arial" w:eastAsia="Arial" w:hAnsi="Arial" w:cs="Arial"/>
          <w:sz w:val="24"/>
          <w:szCs w:val="24"/>
        </w:rPr>
        <w:t>socioespacial</w:t>
      </w:r>
      <w:proofErr w:type="spellEnd"/>
      <w:r w:rsidRPr="00FD1D13">
        <w:rPr>
          <w:rFonts w:ascii="Arial" w:eastAsia="Arial" w:hAnsi="Arial" w:cs="Arial"/>
          <w:sz w:val="24"/>
          <w:szCs w:val="24"/>
        </w:rPr>
        <w:t xml:space="preserve"> e pelo </w:t>
      </w:r>
      <w:proofErr w:type="spellStart"/>
      <w:r w:rsidRPr="00FD1D13">
        <w:rPr>
          <w:rFonts w:ascii="Arial" w:eastAsia="Arial" w:hAnsi="Arial" w:cs="Arial"/>
          <w:sz w:val="24"/>
          <w:szCs w:val="24"/>
        </w:rPr>
        <w:t>sexismo</w:t>
      </w:r>
      <w:proofErr w:type="spellEnd"/>
      <w:r w:rsidRPr="00FD1D13">
        <w:rPr>
          <w:rFonts w:ascii="Arial" w:eastAsia="Arial" w:hAnsi="Arial" w:cs="Arial"/>
          <w:sz w:val="24"/>
          <w:szCs w:val="24"/>
        </w:rPr>
        <w:t xml:space="preserve"> no Brasil. Em seus escritos, a fome assume quase um papel de antagonista, uma presença incômoda que a persegue diariamente. Sua experiência com a fome está profundamente ligada à sua condição de mãe e mulher, pois, além de sentir na própria pele a escassez, enfrenta o sofrimento de ver seus filhos sem ter o que comer. Expressa tristeza ao observá-los alimentando-se enquanto ela mesma passa fome, mas também sente alívio quando consegue garantir comida para eles. O que mais a dilacera é ouvir os filhos perguntando se há algo para comer e, muitas vezes, não ter resposta.</w:t>
      </w:r>
    </w:p>
    <w:p w14:paraId="118B4022" w14:textId="324F25B1" w:rsidR="00C25D3B" w:rsidRDefault="00C25D3B" w:rsidP="00FD1D13">
      <w:pPr>
        <w:spacing w:after="240" w:line="360" w:lineRule="auto"/>
        <w:ind w:firstLine="720"/>
        <w:jc w:val="both"/>
        <w:rPr>
          <w:rFonts w:ascii="Arial" w:eastAsia="Arial" w:hAnsi="Arial" w:cs="Arial"/>
          <w:sz w:val="24"/>
          <w:szCs w:val="24"/>
        </w:rPr>
      </w:pPr>
    </w:p>
    <w:p w14:paraId="1E3070AF" w14:textId="77777777" w:rsidR="00D17C15" w:rsidRDefault="00D17C15" w:rsidP="00D17C15">
      <w:pPr>
        <w:pStyle w:val="Ttulo2"/>
        <w:keepNext w:val="0"/>
        <w:keepLines w:val="0"/>
        <w:jc w:val="both"/>
        <w:rPr>
          <w:rFonts w:ascii="Arial" w:eastAsia="Arial" w:hAnsi="Arial" w:cs="Arial"/>
          <w:sz w:val="24"/>
          <w:szCs w:val="24"/>
        </w:rPr>
      </w:pPr>
      <w:bookmarkStart w:id="3" w:name="_u8dvdtu6gzl1" w:colFirst="0" w:colLast="0"/>
      <w:bookmarkEnd w:id="3"/>
      <w:r>
        <w:rPr>
          <w:rFonts w:ascii="Arial" w:eastAsia="Arial" w:hAnsi="Arial" w:cs="Arial"/>
          <w:sz w:val="24"/>
          <w:szCs w:val="24"/>
        </w:rPr>
        <w:t>4. Conclusão</w:t>
      </w:r>
    </w:p>
    <w:p w14:paraId="3F64CB48" w14:textId="7E87AA89" w:rsidR="00221ADA" w:rsidRPr="00221ADA" w:rsidRDefault="00221ADA" w:rsidP="00221ADA">
      <w:pPr>
        <w:spacing w:before="240" w:after="240" w:line="360" w:lineRule="auto"/>
        <w:ind w:firstLine="720"/>
        <w:jc w:val="both"/>
        <w:rPr>
          <w:rFonts w:ascii="Arial" w:eastAsia="Arial" w:hAnsi="Arial" w:cs="Arial"/>
          <w:sz w:val="24"/>
          <w:szCs w:val="24"/>
        </w:rPr>
      </w:pPr>
      <w:r w:rsidRPr="00221ADA">
        <w:rPr>
          <w:rFonts w:ascii="Arial" w:eastAsia="Arial" w:hAnsi="Arial" w:cs="Arial"/>
          <w:sz w:val="24"/>
          <w:szCs w:val="24"/>
        </w:rPr>
        <w:lastRenderedPageBreak/>
        <w:t>A trajetória de Carolina Maria de Jesus e a edição de sua obra</w:t>
      </w:r>
      <w:r>
        <w:rPr>
          <w:rFonts w:ascii="Arial" w:eastAsia="Arial" w:hAnsi="Arial" w:cs="Arial"/>
          <w:sz w:val="24"/>
          <w:szCs w:val="24"/>
        </w:rPr>
        <w:t xml:space="preserve"> </w:t>
      </w:r>
      <w:r w:rsidRPr="00221ADA">
        <w:rPr>
          <w:rFonts w:ascii="Arial" w:eastAsia="Arial" w:hAnsi="Arial" w:cs="Arial"/>
          <w:i/>
          <w:sz w:val="24"/>
          <w:szCs w:val="24"/>
        </w:rPr>
        <w:t>O Quarto de Despejo</w:t>
      </w:r>
      <w:r w:rsidRPr="00221ADA">
        <w:rPr>
          <w:rFonts w:ascii="Arial" w:eastAsia="Arial" w:hAnsi="Arial" w:cs="Arial"/>
          <w:sz w:val="24"/>
          <w:szCs w:val="24"/>
        </w:rPr>
        <w:t xml:space="preserve"> também demonstram como a fome não é apenas uma condição biológica, mas uma experiência social e política, atravessada por processos históricos de exclusão. A interferência editorial em </w:t>
      </w:r>
      <w:r w:rsidRPr="00221ADA">
        <w:rPr>
          <w:rFonts w:ascii="Arial" w:eastAsia="Arial" w:hAnsi="Arial" w:cs="Arial"/>
          <w:i/>
          <w:iCs/>
          <w:sz w:val="24"/>
          <w:szCs w:val="24"/>
        </w:rPr>
        <w:t>Quarto de Despejo</w:t>
      </w:r>
      <w:r w:rsidRPr="00221ADA">
        <w:rPr>
          <w:rFonts w:ascii="Arial" w:eastAsia="Arial" w:hAnsi="Arial" w:cs="Arial"/>
          <w:sz w:val="24"/>
          <w:szCs w:val="24"/>
        </w:rPr>
        <w:t xml:space="preserve"> exemplifica como discursos sobre a fome podem ser moldados para atender a interesses que apagam a complexidade da vivência dos sujeitos que a </w:t>
      </w:r>
      <w:proofErr w:type="spellStart"/>
      <w:r w:rsidRPr="00221ADA">
        <w:rPr>
          <w:rFonts w:ascii="Arial" w:eastAsia="Arial" w:hAnsi="Arial" w:cs="Arial"/>
          <w:sz w:val="24"/>
          <w:szCs w:val="24"/>
        </w:rPr>
        <w:t>experienciam</w:t>
      </w:r>
      <w:proofErr w:type="spellEnd"/>
      <w:r w:rsidRPr="00221ADA">
        <w:rPr>
          <w:rFonts w:ascii="Arial" w:eastAsia="Arial" w:hAnsi="Arial" w:cs="Arial"/>
          <w:sz w:val="24"/>
          <w:szCs w:val="24"/>
        </w:rPr>
        <w:t>.</w:t>
      </w:r>
    </w:p>
    <w:p w14:paraId="18D7714F" w14:textId="77777777" w:rsidR="00221ADA" w:rsidRPr="00221ADA" w:rsidRDefault="00221ADA" w:rsidP="00221ADA">
      <w:pPr>
        <w:spacing w:before="240" w:after="240" w:line="360" w:lineRule="auto"/>
        <w:ind w:firstLine="720"/>
        <w:jc w:val="both"/>
        <w:rPr>
          <w:rFonts w:ascii="Arial" w:eastAsia="Arial" w:hAnsi="Arial" w:cs="Arial"/>
          <w:sz w:val="24"/>
          <w:szCs w:val="24"/>
        </w:rPr>
      </w:pPr>
      <w:r w:rsidRPr="00221ADA">
        <w:rPr>
          <w:rFonts w:ascii="Arial" w:eastAsia="Arial" w:hAnsi="Arial" w:cs="Arial"/>
          <w:sz w:val="24"/>
          <w:szCs w:val="24"/>
        </w:rPr>
        <w:t xml:space="preserve">Diante disso, este estudo reforça a importância de abordagens críticas que integrem análises estruturais e subjetivas para compreender a fome e suas relações com o modelo econômico vigente. Somente a partir do reconhecimento dessas dimensões e da valorização das narrativas daqueles que vivenciam a fome será possível construir estratégias efetivas para sua erradicação. Como nos </w:t>
      </w:r>
      <w:proofErr w:type="gramStart"/>
      <w:r w:rsidRPr="00221ADA">
        <w:rPr>
          <w:rFonts w:ascii="Arial" w:eastAsia="Arial" w:hAnsi="Arial" w:cs="Arial"/>
          <w:sz w:val="24"/>
          <w:szCs w:val="24"/>
        </w:rPr>
        <w:t>lembra</w:t>
      </w:r>
      <w:proofErr w:type="gramEnd"/>
      <w:r w:rsidRPr="00221ADA">
        <w:rPr>
          <w:rFonts w:ascii="Arial" w:eastAsia="Arial" w:hAnsi="Arial" w:cs="Arial"/>
          <w:sz w:val="24"/>
          <w:szCs w:val="24"/>
        </w:rPr>
        <w:t xml:space="preserve"> Carolina, a fome não muda com a troca de governos; sua raiz está nas estruturas que perpetuam a desigualdade.</w:t>
      </w:r>
    </w:p>
    <w:p w14:paraId="53915DB8" w14:textId="400FF633" w:rsidR="00D17C15" w:rsidRPr="007E2E9E" w:rsidRDefault="00D17C15" w:rsidP="007E2E9E">
      <w:pPr>
        <w:pStyle w:val="Ttulo2"/>
        <w:rPr>
          <w:rFonts w:ascii="Arial" w:hAnsi="Arial" w:cs="Arial"/>
          <w:sz w:val="24"/>
        </w:rPr>
      </w:pPr>
      <w:r w:rsidRPr="007E2E9E">
        <w:rPr>
          <w:rFonts w:ascii="Arial" w:hAnsi="Arial" w:cs="Arial"/>
          <w:sz w:val="24"/>
        </w:rPr>
        <w:t>5. Referências</w:t>
      </w:r>
      <w:bookmarkStart w:id="4" w:name="_GoBack"/>
      <w:bookmarkEnd w:id="4"/>
    </w:p>
    <w:p w14:paraId="4028DE47" w14:textId="299ACBFD" w:rsidR="009F53FB"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t>JESUS, Carolina Maria de. Quarto de despejo – diário de uma f</w:t>
      </w:r>
      <w:r w:rsidR="00D250AC">
        <w:rPr>
          <w:rFonts w:ascii="Times New Roman" w:eastAsia="Times New Roman" w:hAnsi="Times New Roman" w:cs="Times New Roman"/>
          <w:sz w:val="24"/>
          <w:szCs w:val="24"/>
        </w:rPr>
        <w:t>avelada. São Paulo: Ática, 2014</w:t>
      </w:r>
      <w:r w:rsidRPr="009F53FB">
        <w:rPr>
          <w:rFonts w:ascii="Times New Roman" w:eastAsia="Times New Roman" w:hAnsi="Times New Roman" w:cs="Times New Roman"/>
          <w:sz w:val="24"/>
          <w:szCs w:val="24"/>
        </w:rPr>
        <w:t>.</w:t>
      </w:r>
    </w:p>
    <w:p w14:paraId="7215D36F" w14:textId="77777777" w:rsidR="009F53FB" w:rsidRPr="009F53FB"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t>MORAES, Roque. Uma tempestade de luz: a compreensão possibilitada pela análise textual discursiva. Ciência &amp; Educação, Bauru, v. 9, n. 2, p. 191-210, 2003.</w:t>
      </w:r>
    </w:p>
    <w:p w14:paraId="5AB31A87" w14:textId="4A5D2B68" w:rsidR="009F53FB"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t>MORAES, Roque; GALIAZZI, Maria do Carmo. Análise Textual Discursiva: processo reconstrutivo de múltiplas faces. Ciência &amp; Educação, Bauru, v. 12, n. 1, p. 117-128, 2006.</w:t>
      </w:r>
    </w:p>
    <w:p w14:paraId="6BE82388" w14:textId="2D783C5A" w:rsidR="00D250AC" w:rsidRDefault="00D250AC" w:rsidP="009F53FB">
      <w:pPr>
        <w:spacing w:before="200" w:after="200" w:line="360" w:lineRule="auto"/>
        <w:jc w:val="both"/>
        <w:rPr>
          <w:rFonts w:ascii="Times New Roman" w:eastAsia="Times New Roman" w:hAnsi="Times New Roman" w:cs="Times New Roman"/>
          <w:sz w:val="24"/>
          <w:szCs w:val="24"/>
        </w:rPr>
      </w:pPr>
      <w:r w:rsidRPr="00D250AC">
        <w:rPr>
          <w:rFonts w:ascii="Times New Roman" w:eastAsia="Times New Roman" w:hAnsi="Times New Roman" w:cs="Times New Roman"/>
          <w:sz w:val="24"/>
          <w:szCs w:val="24"/>
        </w:rPr>
        <w:t xml:space="preserve">PERPÉTUA, </w:t>
      </w:r>
      <w:proofErr w:type="spellStart"/>
      <w:r w:rsidRPr="00D250AC">
        <w:rPr>
          <w:rFonts w:ascii="Times New Roman" w:eastAsia="Times New Roman" w:hAnsi="Times New Roman" w:cs="Times New Roman"/>
          <w:sz w:val="24"/>
          <w:szCs w:val="24"/>
        </w:rPr>
        <w:t>Elzira</w:t>
      </w:r>
      <w:proofErr w:type="spellEnd"/>
      <w:r w:rsidRPr="00D250AC">
        <w:rPr>
          <w:rFonts w:ascii="Times New Roman" w:eastAsia="Times New Roman" w:hAnsi="Times New Roman" w:cs="Times New Roman"/>
          <w:sz w:val="24"/>
          <w:szCs w:val="24"/>
        </w:rPr>
        <w:t xml:space="preserve"> Divina Aquém do Quarto de despejo: a palavra de Carolina Maria de Jesus nos manuscritos de seu diário. Estudos de literatura brasileira contemporânea, Brasília, n. 22, p. 63-83, 2003.</w:t>
      </w:r>
    </w:p>
    <w:p w14:paraId="6C858AB1" w14:textId="76C463B2" w:rsidR="009F53FB"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t>RAMOS, Maria Luiza Ramos. Fenomenologia da Obra literária. Companhia Editora Forense: Rio de janeiro, 1969.</w:t>
      </w:r>
    </w:p>
    <w:p w14:paraId="010691AA" w14:textId="77777777" w:rsidR="009F53FB" w:rsidRPr="009F53FB"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t xml:space="preserve">REDE PENSSAN. Inquérito Nacional sobre Insegurança Alimentar no contexto da pandemia da Covid-19 no Brasil. I VIGISAN. São Paulo, SP. Fundação Friedrich Ebert: Rede PENSSAN, 2021. </w:t>
      </w:r>
    </w:p>
    <w:p w14:paraId="4BE29E26" w14:textId="740ECEC4" w:rsidR="00222B90" w:rsidRDefault="009F53FB" w:rsidP="009F53FB">
      <w:pPr>
        <w:spacing w:before="200" w:after="200" w:line="360" w:lineRule="auto"/>
        <w:jc w:val="both"/>
        <w:rPr>
          <w:rFonts w:ascii="Times New Roman" w:eastAsia="Times New Roman" w:hAnsi="Times New Roman" w:cs="Times New Roman"/>
          <w:sz w:val="24"/>
          <w:szCs w:val="24"/>
        </w:rPr>
      </w:pPr>
      <w:r w:rsidRPr="009F53FB">
        <w:rPr>
          <w:rFonts w:ascii="Times New Roman" w:eastAsia="Times New Roman" w:hAnsi="Times New Roman" w:cs="Times New Roman"/>
          <w:sz w:val="24"/>
          <w:szCs w:val="24"/>
        </w:rPr>
        <w:lastRenderedPageBreak/>
        <w:t xml:space="preserve">REDE PENSSAN. Insegurança alimentar e desigualdades de raça/cor da pele e gênero: II VIGISAN: inquérito nacional sobre insegurança alimentar no contexto da pandemia da Covid-19 no Brasil: Suplemento II / Rede Brasileira de Pesquisa em Soberania e Segurança Alimentar – PENSSAN. – 1. </w:t>
      </w:r>
      <w:proofErr w:type="gramStart"/>
      <w:r w:rsidRPr="009F53FB">
        <w:rPr>
          <w:rFonts w:ascii="Times New Roman" w:eastAsia="Times New Roman" w:hAnsi="Times New Roman" w:cs="Times New Roman"/>
          <w:sz w:val="24"/>
          <w:szCs w:val="24"/>
        </w:rPr>
        <w:t>ed.</w:t>
      </w:r>
      <w:proofErr w:type="gramEnd"/>
      <w:r w:rsidRPr="009F53FB">
        <w:rPr>
          <w:rFonts w:ascii="Times New Roman" w:eastAsia="Times New Roman" w:hAnsi="Times New Roman" w:cs="Times New Roman"/>
          <w:sz w:val="24"/>
          <w:szCs w:val="24"/>
        </w:rPr>
        <w:t xml:space="preserve"> – São Paulo : Fundação Friedrich Ebert, 2023</w:t>
      </w:r>
    </w:p>
    <w:p w14:paraId="1388588B" w14:textId="489BB951" w:rsidR="00D250AC" w:rsidRDefault="00D250AC" w:rsidP="009F53FB">
      <w:pPr>
        <w:spacing w:before="200" w:after="200" w:line="360" w:lineRule="auto"/>
        <w:jc w:val="both"/>
        <w:rPr>
          <w:rFonts w:ascii="Times New Roman" w:eastAsia="Times New Roman" w:hAnsi="Times New Roman" w:cs="Times New Roman"/>
          <w:sz w:val="24"/>
          <w:szCs w:val="24"/>
        </w:rPr>
      </w:pPr>
      <w:r w:rsidRPr="00D250AC">
        <w:rPr>
          <w:rFonts w:ascii="Times New Roman" w:eastAsia="Times New Roman" w:hAnsi="Times New Roman" w:cs="Times New Roman"/>
          <w:sz w:val="24"/>
          <w:szCs w:val="24"/>
        </w:rPr>
        <w:t xml:space="preserve">SERPA, </w:t>
      </w:r>
      <w:proofErr w:type="spellStart"/>
      <w:r w:rsidRPr="00D250AC">
        <w:rPr>
          <w:rFonts w:ascii="Times New Roman" w:eastAsia="Times New Roman" w:hAnsi="Times New Roman" w:cs="Times New Roman"/>
          <w:sz w:val="24"/>
          <w:szCs w:val="24"/>
        </w:rPr>
        <w:t>Angelo</w:t>
      </w:r>
      <w:proofErr w:type="spellEnd"/>
      <w:r w:rsidRPr="00D250AC">
        <w:rPr>
          <w:rFonts w:ascii="Times New Roman" w:eastAsia="Times New Roman" w:hAnsi="Times New Roman" w:cs="Times New Roman"/>
          <w:sz w:val="24"/>
          <w:szCs w:val="24"/>
        </w:rPr>
        <w:t>. Por uma Geografia dos Espaços Vividos. Geografia e Fenomenologia. São Paulo: Contexto, 2019.</w:t>
      </w:r>
    </w:p>
    <w:p w14:paraId="034AF454" w14:textId="77777777" w:rsidR="009F53FB" w:rsidRDefault="009F53FB" w:rsidP="009F53FB">
      <w:pPr>
        <w:spacing w:before="200" w:after="200" w:line="360" w:lineRule="auto"/>
        <w:jc w:val="both"/>
        <w:rPr>
          <w:rFonts w:ascii="Times New Roman" w:eastAsia="Times New Roman" w:hAnsi="Times New Roman" w:cs="Times New Roman"/>
          <w:sz w:val="24"/>
          <w:szCs w:val="24"/>
        </w:rPr>
      </w:pPr>
    </w:p>
    <w:p w14:paraId="4FD9FC5C" w14:textId="77777777" w:rsidR="00222B90" w:rsidRDefault="00222B90">
      <w:pPr>
        <w:spacing w:before="200" w:after="200" w:line="360" w:lineRule="auto"/>
        <w:jc w:val="both"/>
        <w:rPr>
          <w:rFonts w:ascii="Times New Roman" w:eastAsia="Times New Roman" w:hAnsi="Times New Roman" w:cs="Times New Roman"/>
          <w:sz w:val="24"/>
          <w:szCs w:val="24"/>
        </w:rPr>
      </w:pPr>
    </w:p>
    <w:p w14:paraId="78B3261E" w14:textId="77777777" w:rsidR="00222B90" w:rsidRDefault="00222B90">
      <w:pPr>
        <w:spacing w:before="200" w:after="200" w:line="360" w:lineRule="auto"/>
        <w:jc w:val="both"/>
        <w:rPr>
          <w:rFonts w:ascii="Times New Roman" w:eastAsia="Times New Roman" w:hAnsi="Times New Roman" w:cs="Times New Roman"/>
          <w:sz w:val="24"/>
          <w:szCs w:val="24"/>
        </w:rPr>
      </w:pPr>
    </w:p>
    <w:p w14:paraId="0BCA3ECB" w14:textId="77777777" w:rsidR="00222B90" w:rsidRDefault="00222B90">
      <w:pPr>
        <w:spacing w:before="200" w:after="200" w:line="360" w:lineRule="auto"/>
        <w:jc w:val="both"/>
        <w:rPr>
          <w:rFonts w:ascii="Times New Roman" w:eastAsia="Times New Roman" w:hAnsi="Times New Roman" w:cs="Times New Roman"/>
          <w:sz w:val="24"/>
          <w:szCs w:val="24"/>
        </w:rPr>
      </w:pPr>
    </w:p>
    <w:p w14:paraId="68D7A8D1" w14:textId="77777777" w:rsidR="00222B90" w:rsidRDefault="00222B90">
      <w:pPr>
        <w:spacing w:before="200" w:after="200" w:line="360" w:lineRule="auto"/>
        <w:jc w:val="both"/>
        <w:rPr>
          <w:rFonts w:ascii="Times New Roman" w:eastAsia="Times New Roman" w:hAnsi="Times New Roman" w:cs="Times New Roman"/>
          <w:sz w:val="24"/>
          <w:szCs w:val="24"/>
        </w:rPr>
      </w:pPr>
    </w:p>
    <w:p w14:paraId="3474472C"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9"/>
      <w:headerReference w:type="default" r:id="rId10"/>
      <w:footerReference w:type="default" r:id="rId11"/>
      <w:headerReference w:type="first" r:id="rId12"/>
      <w:footerReference w:type="first" r:id="rId13"/>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F6ECFB" w14:textId="77777777" w:rsidR="00806186" w:rsidRDefault="00806186">
      <w:pPr>
        <w:spacing w:after="0" w:line="240" w:lineRule="auto"/>
      </w:pPr>
      <w:r>
        <w:separator/>
      </w:r>
    </w:p>
  </w:endnote>
  <w:endnote w:type="continuationSeparator" w:id="0">
    <w:p w14:paraId="24BA55BA" w14:textId="77777777" w:rsidR="00806186" w:rsidRDefault="00806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8BD60C" w14:textId="77777777" w:rsidR="00806186" w:rsidRDefault="00806186">
      <w:pPr>
        <w:spacing w:after="0" w:line="240" w:lineRule="auto"/>
      </w:pPr>
      <w:r>
        <w:separator/>
      </w:r>
    </w:p>
  </w:footnote>
  <w:footnote w:type="continuationSeparator" w:id="0">
    <w:p w14:paraId="5886B038" w14:textId="77777777" w:rsidR="00806186" w:rsidRDefault="008061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284590" w14:textId="5F597947" w:rsidR="002D77C0" w:rsidRDefault="00806186"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2055"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7E2E9E">
      <w:rPr>
        <w:rStyle w:val="Nmerodepgina"/>
        <w:rFonts w:ascii="Times New Roman" w:hAnsi="Times New Roman" w:cs="Times New Roman"/>
        <w:noProof/>
        <w:sz w:val="24"/>
        <w:szCs w:val="24"/>
      </w:rPr>
      <w:t>7</w:t>
    </w:r>
    <w:r w:rsidRPr="002D77C0">
      <w:rPr>
        <w:rStyle w:val="Nmerodepgina"/>
        <w:rFonts w:ascii="Times New Roman" w:hAnsi="Times New Roman" w:cs="Times New Roman"/>
        <w:sz w:val="24"/>
        <w:szCs w:val="24"/>
      </w:rPr>
      <w:fldChar w:fldCharType="end"/>
    </w:r>
  </w:p>
  <w:p w14:paraId="71B55A03" w14:textId="6E4AC593" w:rsidR="00814DA0" w:rsidRDefault="00806186"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2056"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1544F" w14:textId="59F11AD1" w:rsidR="00222B90" w:rsidRDefault="00806186"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2054"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6"/>
  </w:num>
  <w:num w:numId="5">
    <w:abstractNumId w:val="3"/>
  </w:num>
  <w:num w:numId="6">
    <w:abstractNumId w:val="7"/>
  </w:num>
  <w:num w:numId="7">
    <w:abstractNumId w:val="11"/>
  </w:num>
  <w:num w:numId="8">
    <w:abstractNumId w:val="8"/>
  </w:num>
  <w:num w:numId="9">
    <w:abstractNumId w:val="4"/>
  </w:num>
  <w:num w:numId="10">
    <w:abstractNumId w:val="9"/>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DA0"/>
    <w:rsid w:val="00035C33"/>
    <w:rsid w:val="00151EC1"/>
    <w:rsid w:val="00173068"/>
    <w:rsid w:val="00221ADA"/>
    <w:rsid w:val="00222B90"/>
    <w:rsid w:val="0023277C"/>
    <w:rsid w:val="002500BD"/>
    <w:rsid w:val="002D77C0"/>
    <w:rsid w:val="002F1BB3"/>
    <w:rsid w:val="003207DA"/>
    <w:rsid w:val="00352D9B"/>
    <w:rsid w:val="00361EC4"/>
    <w:rsid w:val="004C2926"/>
    <w:rsid w:val="004D6F9A"/>
    <w:rsid w:val="0051116C"/>
    <w:rsid w:val="005352E5"/>
    <w:rsid w:val="00535490"/>
    <w:rsid w:val="005D6986"/>
    <w:rsid w:val="0069365F"/>
    <w:rsid w:val="0072597F"/>
    <w:rsid w:val="007E2E9E"/>
    <w:rsid w:val="00806186"/>
    <w:rsid w:val="00814DA0"/>
    <w:rsid w:val="00857725"/>
    <w:rsid w:val="00897F2C"/>
    <w:rsid w:val="008C0439"/>
    <w:rsid w:val="009528FD"/>
    <w:rsid w:val="00957C81"/>
    <w:rsid w:val="009F53FB"/>
    <w:rsid w:val="00B51029"/>
    <w:rsid w:val="00B56E42"/>
    <w:rsid w:val="00B876D9"/>
    <w:rsid w:val="00C21CAE"/>
    <w:rsid w:val="00C25D3B"/>
    <w:rsid w:val="00C71E09"/>
    <w:rsid w:val="00D17C15"/>
    <w:rsid w:val="00D250AC"/>
    <w:rsid w:val="00D732BA"/>
    <w:rsid w:val="00DA40A2"/>
    <w:rsid w:val="00DF5F4D"/>
    <w:rsid w:val="00EE48FF"/>
    <w:rsid w:val="00EF27BE"/>
    <w:rsid w:val="00FD1D1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058B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7927">
      <w:bodyDiv w:val="1"/>
      <w:marLeft w:val="0"/>
      <w:marRight w:val="0"/>
      <w:marTop w:val="0"/>
      <w:marBottom w:val="0"/>
      <w:divBdr>
        <w:top w:val="none" w:sz="0" w:space="0" w:color="auto"/>
        <w:left w:val="none" w:sz="0" w:space="0" w:color="auto"/>
        <w:bottom w:val="none" w:sz="0" w:space="0" w:color="auto"/>
        <w:right w:val="none" w:sz="0" w:space="0" w:color="auto"/>
      </w:divBdr>
    </w:div>
    <w:div w:id="559054805">
      <w:bodyDiv w:val="1"/>
      <w:marLeft w:val="0"/>
      <w:marRight w:val="0"/>
      <w:marTop w:val="0"/>
      <w:marBottom w:val="0"/>
      <w:divBdr>
        <w:top w:val="none" w:sz="0" w:space="0" w:color="auto"/>
        <w:left w:val="none" w:sz="0" w:space="0" w:color="auto"/>
        <w:bottom w:val="none" w:sz="0" w:space="0" w:color="auto"/>
        <w:right w:val="none" w:sz="0" w:space="0" w:color="auto"/>
      </w:divBdr>
    </w:div>
    <w:div w:id="570386089">
      <w:bodyDiv w:val="1"/>
      <w:marLeft w:val="0"/>
      <w:marRight w:val="0"/>
      <w:marTop w:val="0"/>
      <w:marBottom w:val="0"/>
      <w:divBdr>
        <w:top w:val="none" w:sz="0" w:space="0" w:color="auto"/>
        <w:left w:val="none" w:sz="0" w:space="0" w:color="auto"/>
        <w:bottom w:val="none" w:sz="0" w:space="0" w:color="auto"/>
        <w:right w:val="none" w:sz="0" w:space="0" w:color="auto"/>
      </w:divBdr>
    </w:div>
    <w:div w:id="802427153">
      <w:bodyDiv w:val="1"/>
      <w:marLeft w:val="0"/>
      <w:marRight w:val="0"/>
      <w:marTop w:val="0"/>
      <w:marBottom w:val="0"/>
      <w:divBdr>
        <w:top w:val="none" w:sz="0" w:space="0" w:color="auto"/>
        <w:left w:val="none" w:sz="0" w:space="0" w:color="auto"/>
        <w:bottom w:val="none" w:sz="0" w:space="0" w:color="auto"/>
        <w:right w:val="none" w:sz="0" w:space="0" w:color="auto"/>
      </w:divBdr>
    </w:div>
    <w:div w:id="927612678">
      <w:bodyDiv w:val="1"/>
      <w:marLeft w:val="0"/>
      <w:marRight w:val="0"/>
      <w:marTop w:val="0"/>
      <w:marBottom w:val="0"/>
      <w:divBdr>
        <w:top w:val="none" w:sz="0" w:space="0" w:color="auto"/>
        <w:left w:val="none" w:sz="0" w:space="0" w:color="auto"/>
        <w:bottom w:val="none" w:sz="0" w:space="0" w:color="auto"/>
        <w:right w:val="none" w:sz="0" w:space="0" w:color="auto"/>
      </w:divBdr>
    </w:div>
    <w:div w:id="1021932240">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45242200">
      <w:bodyDiv w:val="1"/>
      <w:marLeft w:val="0"/>
      <w:marRight w:val="0"/>
      <w:marTop w:val="0"/>
      <w:marBottom w:val="0"/>
      <w:divBdr>
        <w:top w:val="none" w:sz="0" w:space="0" w:color="auto"/>
        <w:left w:val="none" w:sz="0" w:space="0" w:color="auto"/>
        <w:bottom w:val="none" w:sz="0" w:space="0" w:color="auto"/>
        <w:right w:val="none" w:sz="0" w:space="0" w:color="auto"/>
      </w:divBdr>
    </w:div>
    <w:div w:id="1351026494">
      <w:bodyDiv w:val="1"/>
      <w:marLeft w:val="0"/>
      <w:marRight w:val="0"/>
      <w:marTop w:val="0"/>
      <w:marBottom w:val="0"/>
      <w:divBdr>
        <w:top w:val="none" w:sz="0" w:space="0" w:color="auto"/>
        <w:left w:val="none" w:sz="0" w:space="0" w:color="auto"/>
        <w:bottom w:val="none" w:sz="0" w:space="0" w:color="auto"/>
        <w:right w:val="none" w:sz="0" w:space="0" w:color="auto"/>
      </w:divBdr>
    </w:div>
    <w:div w:id="1744908405">
      <w:bodyDiv w:val="1"/>
      <w:marLeft w:val="0"/>
      <w:marRight w:val="0"/>
      <w:marTop w:val="0"/>
      <w:marBottom w:val="0"/>
      <w:divBdr>
        <w:top w:val="none" w:sz="0" w:space="0" w:color="auto"/>
        <w:left w:val="none" w:sz="0" w:space="0" w:color="auto"/>
        <w:bottom w:val="none" w:sz="0" w:space="0" w:color="auto"/>
        <w:right w:val="none" w:sz="0" w:space="0" w:color="auto"/>
      </w:divBdr>
    </w:div>
    <w:div w:id="2049794869">
      <w:bodyDiv w:val="1"/>
      <w:marLeft w:val="0"/>
      <w:marRight w:val="0"/>
      <w:marTop w:val="0"/>
      <w:marBottom w:val="0"/>
      <w:divBdr>
        <w:top w:val="none" w:sz="0" w:space="0" w:color="auto"/>
        <w:left w:val="none" w:sz="0" w:space="0" w:color="auto"/>
        <w:bottom w:val="none" w:sz="0" w:space="0" w:color="auto"/>
        <w:right w:val="none" w:sz="0" w:space="0" w:color="auto"/>
      </w:divBdr>
    </w:div>
    <w:div w:id="20733890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8</Pages>
  <Words>2261</Words>
  <Characters>12214</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User</cp:lastModifiedBy>
  <cp:revision>10</cp:revision>
  <dcterms:created xsi:type="dcterms:W3CDTF">2025-02-07T00:59:00Z</dcterms:created>
  <dcterms:modified xsi:type="dcterms:W3CDTF">2025-04-03T23:12:00Z</dcterms:modified>
</cp:coreProperties>
</file>