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2856F0" w14:textId="77777777" w:rsidR="00C11941" w:rsidRDefault="00C11941">
      <w:pPr>
        <w:spacing w:before="120" w:after="120"/>
        <w:jc w:val="center"/>
        <w:rPr>
          <w:b/>
        </w:rPr>
      </w:pPr>
    </w:p>
    <w:p w14:paraId="7723482D" w14:textId="77777777" w:rsidR="006964F9" w:rsidRDefault="006964F9">
      <w:pPr>
        <w:spacing w:before="120" w:after="120"/>
        <w:jc w:val="center"/>
        <w:rPr>
          <w:b/>
        </w:rPr>
      </w:pPr>
    </w:p>
    <w:p w14:paraId="2FB67174" w14:textId="77777777" w:rsidR="006964F9" w:rsidRDefault="006964F9">
      <w:pPr>
        <w:spacing w:before="120" w:after="120"/>
        <w:jc w:val="center"/>
        <w:rPr>
          <w:b/>
        </w:rPr>
      </w:pPr>
    </w:p>
    <w:p w14:paraId="6476E693" w14:textId="77777777" w:rsidR="006964F9" w:rsidRDefault="006964F9">
      <w:pPr>
        <w:spacing w:before="120" w:after="120"/>
        <w:jc w:val="center"/>
        <w:rPr>
          <w:b/>
        </w:rPr>
      </w:pPr>
    </w:p>
    <w:p w14:paraId="6AEB25AE" w14:textId="77777777" w:rsidR="006964F9" w:rsidRDefault="006964F9">
      <w:pPr>
        <w:spacing w:before="120" w:after="120"/>
        <w:jc w:val="center"/>
        <w:rPr>
          <w:b/>
        </w:rPr>
      </w:pPr>
    </w:p>
    <w:p w14:paraId="66C3E43D" w14:textId="4078874B" w:rsidR="00C11941" w:rsidRDefault="00BB6CC8">
      <w:pPr>
        <w:spacing w:before="120" w:after="120"/>
        <w:jc w:val="center"/>
        <w:rPr>
          <w:b/>
        </w:rPr>
      </w:pPr>
      <w:r w:rsidRPr="00BB6CC8">
        <w:rPr>
          <w:b/>
        </w:rPr>
        <w:t>SANDBOX CAIXA – TRANSFORMANDO IDEIAS EM VALOR</w:t>
      </w:r>
    </w:p>
    <w:p w14:paraId="265ADC90" w14:textId="5FF064FA" w:rsidR="00C11941" w:rsidRDefault="00BB6CC8">
      <w:pPr>
        <w:spacing w:before="120" w:after="120"/>
        <w:jc w:val="center"/>
        <w:rPr>
          <w:b/>
        </w:rPr>
      </w:pPr>
      <w:r w:rsidRPr="00BB6CC8">
        <w:t>Lucas Zaccaro Dias Santana</w:t>
      </w:r>
      <w:r>
        <w:rPr>
          <w:rStyle w:val="Refdenotaderodap"/>
        </w:rPr>
        <w:footnoteReference w:id="1"/>
      </w:r>
      <w:r w:rsidRPr="00BB6CC8">
        <w:t>; Fernando Rodrigues Cividanes</w:t>
      </w:r>
      <w:r w:rsidR="006964F9">
        <w:rPr>
          <w:rStyle w:val="Refdenotaderodap"/>
        </w:rPr>
        <w:footnoteReference w:id="2"/>
      </w:r>
      <w:r w:rsidRPr="00BB6CC8">
        <w:t>, Eduardo Augusto Correa Martinho</w:t>
      </w:r>
      <w:r w:rsidR="006964F9">
        <w:rPr>
          <w:rStyle w:val="Refdenotaderodap"/>
        </w:rPr>
        <w:footnoteReference w:id="3"/>
      </w:r>
    </w:p>
    <w:p w14:paraId="06CC4985" w14:textId="77777777" w:rsidR="00C11941" w:rsidRDefault="00000000">
      <w:pPr>
        <w:spacing w:before="120" w:after="120"/>
        <w:rPr>
          <w:b/>
        </w:rPr>
      </w:pPr>
      <w:r>
        <w:rPr>
          <w:b/>
        </w:rPr>
        <w:t>RESUMO</w:t>
      </w:r>
    </w:p>
    <w:p w14:paraId="66D7E50D" w14:textId="77777777" w:rsidR="00BB6CC8" w:rsidRDefault="00BB6CC8" w:rsidP="00BB6CC8">
      <w:pPr>
        <w:spacing w:before="120" w:after="120"/>
        <w:ind w:right="424"/>
      </w:pPr>
      <w:r>
        <w:t xml:space="preserve">O Sandbox CAIXA é uma iniciativa estratégica que transforma a forma como a inovação é conduzida na organização. Estruturado como um ambiente controlado e seguro, o modelo permite que ideias, produtos, serviços e processos inovadores sejam testados com agilidade, governança e foco na geração de valor para o cliente. A proposta vai além da experimentação tecnológica: trata-se de um modelo de governança disciplinada, com diretrizes normativas claras, formulários padronizados e um fluxo estruturado em três fases — </w:t>
      </w:r>
      <w:r w:rsidRPr="00B50D91">
        <w:rPr>
          <w:i/>
          <w:iCs/>
        </w:rPr>
        <w:t>Discovery</w:t>
      </w:r>
      <w:r>
        <w:t xml:space="preserve">, </w:t>
      </w:r>
      <w:r w:rsidRPr="00B50D91">
        <w:rPr>
          <w:i/>
          <w:iCs/>
        </w:rPr>
        <w:t>Delivery</w:t>
      </w:r>
      <w:r>
        <w:t xml:space="preserve"> e </w:t>
      </w:r>
      <w:proofErr w:type="spellStart"/>
      <w:r w:rsidRPr="00B50D91">
        <w:rPr>
          <w:i/>
          <w:iCs/>
        </w:rPr>
        <w:t>Scale</w:t>
      </w:r>
      <w:proofErr w:type="spellEnd"/>
      <w:r>
        <w:t>. A iniciativa fortalece a cultura de inovação na CAIXA ao estimular o intraempreendedorismo, a colaboração entre áreas e a centralidade no cliente. Com mais de 30 experimentos em andamento ou finalizados, o Sandbox CAIXA já viabilizou soluções com impacto direto na experiência do usuário, eficiência operacional e posicionamento estratégico da empresa no mercado. Além disso, o modelo garante rastreabilidade e conformidade por meio de relatórios periódicos, controle documental e integração com sistemas de governança e auditoria.</w:t>
      </w:r>
    </w:p>
    <w:p w14:paraId="037B1205" w14:textId="77777777" w:rsidR="00BB6CC8" w:rsidRDefault="00BB6CC8" w:rsidP="00BB6CC8">
      <w:pPr>
        <w:spacing w:before="120" w:after="120"/>
      </w:pPr>
      <w:r>
        <w:rPr>
          <w:b/>
        </w:rPr>
        <w:t>PALAVRAS-CHAVE</w:t>
      </w:r>
      <w:r>
        <w:t xml:space="preserve">: </w:t>
      </w:r>
      <w:r w:rsidRPr="00B50D91">
        <w:t>Experimentação, Governança, Inovação, Intraempreendedorismo, Hipótese</w:t>
      </w:r>
      <w:r>
        <w:t>.</w:t>
      </w:r>
    </w:p>
    <w:p w14:paraId="6490E959" w14:textId="77777777" w:rsidR="00C11941" w:rsidRDefault="00C11941"/>
    <w:tbl>
      <w:tblPr>
        <w:tblStyle w:val="a0"/>
        <w:tblW w:w="9067"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773"/>
        <w:gridCol w:w="5294"/>
      </w:tblGrid>
      <w:tr w:rsidR="00C11941" w14:paraId="69D8B78B" w14:textId="77777777">
        <w:trPr>
          <w:trHeight w:val="273"/>
        </w:trPr>
        <w:tc>
          <w:tcPr>
            <w:tcW w:w="3773" w:type="dxa"/>
          </w:tcPr>
          <w:p w14:paraId="2654D5C6" w14:textId="77777777" w:rsidR="00C11941" w:rsidRDefault="00000000">
            <w:pPr>
              <w:jc w:val="center"/>
              <w:rPr>
                <w:b/>
              </w:rPr>
            </w:pPr>
            <w:r>
              <w:rPr>
                <w:b/>
              </w:rPr>
              <w:t>NOME DO ATOR</w:t>
            </w:r>
          </w:p>
        </w:tc>
        <w:tc>
          <w:tcPr>
            <w:tcW w:w="5294" w:type="dxa"/>
          </w:tcPr>
          <w:p w14:paraId="1F99C9A0" w14:textId="77777777" w:rsidR="00C11941" w:rsidRDefault="00000000">
            <w:pPr>
              <w:jc w:val="center"/>
              <w:rPr>
                <w:b/>
              </w:rPr>
            </w:pPr>
            <w:r>
              <w:rPr>
                <w:b/>
              </w:rPr>
              <w:t>PAPEL NO ECOSSISTEMA</w:t>
            </w:r>
          </w:p>
        </w:tc>
      </w:tr>
      <w:tr w:rsidR="00C11941" w14:paraId="798BB5FD" w14:textId="77777777">
        <w:trPr>
          <w:trHeight w:val="273"/>
        </w:trPr>
        <w:tc>
          <w:tcPr>
            <w:tcW w:w="3773" w:type="dxa"/>
          </w:tcPr>
          <w:p w14:paraId="3A064715" w14:textId="58D4AF7B" w:rsidR="00C11941" w:rsidRDefault="00BB6CC8">
            <w:r>
              <w:t>Caixa Econômica Federal</w:t>
            </w:r>
          </w:p>
        </w:tc>
        <w:tc>
          <w:tcPr>
            <w:tcW w:w="5294" w:type="dxa"/>
          </w:tcPr>
          <w:p w14:paraId="1DE1C693" w14:textId="781CC671" w:rsidR="00C11941" w:rsidRDefault="00D07331">
            <w:r>
              <w:t>Governo/Setor Público</w:t>
            </w:r>
          </w:p>
        </w:tc>
      </w:tr>
      <w:tr w:rsidR="00C11941" w14:paraId="5078036C" w14:textId="77777777">
        <w:trPr>
          <w:trHeight w:val="273"/>
        </w:trPr>
        <w:tc>
          <w:tcPr>
            <w:tcW w:w="3773" w:type="dxa"/>
          </w:tcPr>
          <w:p w14:paraId="7FD19AC6" w14:textId="2EAF26AE" w:rsidR="00C11941" w:rsidRDefault="00BB6CC8">
            <w:r>
              <w:t>Match-it</w:t>
            </w:r>
          </w:p>
        </w:tc>
        <w:tc>
          <w:tcPr>
            <w:tcW w:w="5294" w:type="dxa"/>
          </w:tcPr>
          <w:p w14:paraId="272BA57A" w14:textId="319014A5" w:rsidR="00C11941" w:rsidRDefault="00000000">
            <w:r>
              <w:t>Startup</w:t>
            </w:r>
          </w:p>
        </w:tc>
      </w:tr>
      <w:tr w:rsidR="005F6EC1" w14:paraId="1D5809BC" w14:textId="77777777">
        <w:trPr>
          <w:trHeight w:val="273"/>
        </w:trPr>
        <w:tc>
          <w:tcPr>
            <w:tcW w:w="3773" w:type="dxa"/>
          </w:tcPr>
          <w:p w14:paraId="2144A2A2" w14:textId="212C73B9" w:rsidR="005F6EC1" w:rsidRDefault="005F6EC1">
            <w:r>
              <w:t>Clientes CAIXA</w:t>
            </w:r>
          </w:p>
        </w:tc>
        <w:tc>
          <w:tcPr>
            <w:tcW w:w="5294" w:type="dxa"/>
          </w:tcPr>
          <w:p w14:paraId="611FD5C0" w14:textId="32963C78" w:rsidR="005F6EC1" w:rsidRDefault="005F6EC1">
            <w:r>
              <w:t>Beneficiário da iniciativa</w:t>
            </w:r>
          </w:p>
        </w:tc>
      </w:tr>
      <w:tr w:rsidR="005F6EC1" w14:paraId="66A14762" w14:textId="77777777">
        <w:trPr>
          <w:trHeight w:val="273"/>
        </w:trPr>
        <w:tc>
          <w:tcPr>
            <w:tcW w:w="3773" w:type="dxa"/>
          </w:tcPr>
          <w:p w14:paraId="4C2E6F49" w14:textId="7F3F8C0A" w:rsidR="005F6EC1" w:rsidRDefault="005F6EC1">
            <w:r>
              <w:t>Empregados CAIXA</w:t>
            </w:r>
          </w:p>
        </w:tc>
        <w:tc>
          <w:tcPr>
            <w:tcW w:w="5294" w:type="dxa"/>
          </w:tcPr>
          <w:p w14:paraId="2C702DFF" w14:textId="43A2CDD2" w:rsidR="005F6EC1" w:rsidRDefault="005F6EC1">
            <w:r>
              <w:t>Usuário e Beneficiário da iniciativa</w:t>
            </w:r>
          </w:p>
        </w:tc>
      </w:tr>
    </w:tbl>
    <w:p w14:paraId="1592EB9D" w14:textId="77777777" w:rsidR="00C11941" w:rsidRDefault="00C11941"/>
    <w:p w14:paraId="463DD526" w14:textId="77777777" w:rsidR="00BB6CC8" w:rsidRDefault="00BB6CC8"/>
    <w:p w14:paraId="6B315203" w14:textId="77777777" w:rsidR="00BB6CC8" w:rsidRDefault="00BB6CC8"/>
    <w:p w14:paraId="2F9814B0" w14:textId="77777777" w:rsidR="00BB6CC8" w:rsidRDefault="00BB6CC8"/>
    <w:p w14:paraId="5809DB22" w14:textId="77777777" w:rsidR="00BB6CC8" w:rsidRDefault="00BB6CC8"/>
    <w:p w14:paraId="67E52FF8" w14:textId="77777777" w:rsidR="00BB6CC8" w:rsidRDefault="00BB6CC8"/>
    <w:p w14:paraId="42278CD7" w14:textId="77777777" w:rsidR="00BB6CC8" w:rsidRDefault="00BB6CC8"/>
    <w:p w14:paraId="408B0517" w14:textId="77777777" w:rsidR="00BB6CC8" w:rsidRDefault="00BB6CC8"/>
    <w:p w14:paraId="6448850C" w14:textId="77777777" w:rsidR="00BB6CC8" w:rsidRDefault="00BB6CC8"/>
    <w:p w14:paraId="204B78C2" w14:textId="77777777" w:rsidR="00BB6CC8" w:rsidRDefault="00BB6CC8"/>
    <w:p w14:paraId="4B661DEB" w14:textId="77777777" w:rsidR="00BB6CC8" w:rsidRDefault="00BB6CC8"/>
    <w:p w14:paraId="5947A889" w14:textId="77777777" w:rsidR="00BB6CC8" w:rsidRDefault="00BB6CC8"/>
    <w:p w14:paraId="4553DC0E" w14:textId="77777777" w:rsidR="00BB6CC8" w:rsidRDefault="00BB6CC8"/>
    <w:p w14:paraId="406596D0" w14:textId="0A4B6A2F" w:rsidR="00C11941" w:rsidRDefault="00000000">
      <w:pPr>
        <w:rPr>
          <w:b/>
        </w:rPr>
      </w:pPr>
      <w:r>
        <w:rPr>
          <w:b/>
        </w:rPr>
        <w:t xml:space="preserve">1. SITUAÇÃO PROBLEMA DE OPEN INNOVATION </w:t>
      </w:r>
    </w:p>
    <w:p w14:paraId="67294325" w14:textId="47F95E40" w:rsidR="006964F9" w:rsidRDefault="006964F9" w:rsidP="006964F9">
      <w:pPr>
        <w:spacing w:before="120" w:after="120"/>
      </w:pPr>
      <w:r>
        <w:t>A CAIXA enfrentava um desafio recorrente: a dificuldade de testar</w:t>
      </w:r>
      <w:r w:rsidR="005F6EC1">
        <w:t xml:space="preserve"> e implementar</w:t>
      </w:r>
      <w:r>
        <w:t xml:space="preserve"> soluções inovadoras de forma segura, ágil e alinhada às suas diretrizes estratégicas. A ausência de um ambiente institucionalizado para experimentação limitava a capacidade da organização de validar hipóteses, desenvolver </w:t>
      </w:r>
      <w:proofErr w:type="spellStart"/>
      <w:r>
        <w:t>MVPs</w:t>
      </w:r>
      <w:proofErr w:type="spellEnd"/>
      <w:r>
        <w:t xml:space="preserve"> e escalar soluções com base em evidências. Além disso, a rigidez normativa e a burocracia dificultavam a flexibilização de processos para iniciativas inovadoras, gerando retrabalho, riscos jurídicos e baixa adesão de áreas técnicas.</w:t>
      </w:r>
    </w:p>
    <w:p w14:paraId="3501C187" w14:textId="77777777" w:rsidR="006964F9" w:rsidRDefault="006964F9" w:rsidP="006964F9">
      <w:pPr>
        <w:spacing w:before="120" w:after="120"/>
      </w:pPr>
    </w:p>
    <w:p w14:paraId="1F6A1EC7" w14:textId="7CBECD47" w:rsidR="006964F9" w:rsidRDefault="006964F9" w:rsidP="006964F9">
      <w:pPr>
        <w:spacing w:before="120" w:after="120"/>
      </w:pPr>
      <w:r>
        <w:t xml:space="preserve">Nesse contexto, surgiu a necessidade de criar um ambiente controlado, com governança clara, tolerância ao erro e foco em aprendizado. A inspiração veio de modelos </w:t>
      </w:r>
      <w:r>
        <w:t>nacionais</w:t>
      </w:r>
      <w:r w:rsidR="005F6EC1">
        <w:t xml:space="preserve"> e internacionais</w:t>
      </w:r>
      <w:r>
        <w:t xml:space="preserve"> de </w:t>
      </w:r>
      <w:proofErr w:type="spellStart"/>
      <w:r>
        <w:t>sandbox</w:t>
      </w:r>
      <w:proofErr w:type="spellEnd"/>
      <w:r>
        <w:t xml:space="preserve"> regulatório e da crescente demanda interna por espaços de inovação estruturada. A CAIXA identificou que, para fomentar uma cultura de inovação sustentável, seria necessário oferecer suporte metodológico, jurídico e tecnológico aos intraempreendedores e unidades gestoras interessadas em testar novas ideias.</w:t>
      </w:r>
    </w:p>
    <w:p w14:paraId="452B7DC0" w14:textId="77777777" w:rsidR="006964F9" w:rsidRDefault="006964F9" w:rsidP="006964F9">
      <w:pPr>
        <w:spacing w:before="120" w:after="120"/>
      </w:pPr>
    </w:p>
    <w:p w14:paraId="7DC5E7A9" w14:textId="30841734" w:rsidR="00C11941" w:rsidRDefault="006964F9" w:rsidP="006964F9">
      <w:pPr>
        <w:spacing w:before="120" w:after="120"/>
      </w:pPr>
      <w:r>
        <w:t>A situação-problema, portanto, estava centrada na lacuna entre a intenção de inovar e a capacidade institucional de experimentar com segurança. A ausência de um processo padronizado e de um ambiente de testes controlado impedia que ideias promissoras fossem validadas antes de sua implementação em larga escala. Isso gerava riscos operacionais, desperdício de recursos e baixa efetividade na transformação digital da organização.</w:t>
      </w:r>
    </w:p>
    <w:p w14:paraId="2C554BDC" w14:textId="77777777" w:rsidR="00C11941" w:rsidRDefault="00000000">
      <w:pPr>
        <w:spacing w:before="120" w:after="120"/>
        <w:rPr>
          <w:b/>
        </w:rPr>
      </w:pPr>
      <w:r>
        <w:rPr>
          <w:b/>
        </w:rPr>
        <w:t>2. INTERVENÇÃO</w:t>
      </w:r>
    </w:p>
    <w:p w14:paraId="4E684C05" w14:textId="0CF273AD" w:rsidR="006964F9" w:rsidRDefault="006964F9" w:rsidP="006964F9">
      <w:pPr>
        <w:spacing w:before="120" w:after="120"/>
      </w:pPr>
      <w:r>
        <w:t xml:space="preserve">A solução adotada foi a criação do Sandbox CAIXA — um ambiente seguro, controlado e </w:t>
      </w:r>
      <w:r w:rsidR="005F6EC1">
        <w:t>segregado</w:t>
      </w:r>
      <w:r>
        <w:t xml:space="preserve"> para experimentação de ideias inovadoras, como novos produtos, serviços, processos e modelos de negócio. O Sandbox é um modelo de governança robusto, com diretrizes normativas, critérios de avaliação, mecanismos de controle e acompanhamento contínuo.</w:t>
      </w:r>
    </w:p>
    <w:p w14:paraId="12392D44" w14:textId="77777777" w:rsidR="006964F9" w:rsidRDefault="006964F9" w:rsidP="006964F9">
      <w:pPr>
        <w:spacing w:before="120" w:after="120"/>
      </w:pPr>
    </w:p>
    <w:p w14:paraId="368A4E30" w14:textId="420B5172" w:rsidR="006964F9" w:rsidRDefault="006964F9" w:rsidP="006964F9">
      <w:pPr>
        <w:spacing w:before="120" w:after="120"/>
      </w:pPr>
      <w:r>
        <w:t xml:space="preserve">A intervenção envolveu a publicação do normativo </w:t>
      </w:r>
      <w:r>
        <w:t>interno</w:t>
      </w:r>
      <w:r>
        <w:t xml:space="preserve">, a criação de editais de chamada de experimentação e a estruturação de um funil de inovação com fases bem definidas: Discovery, Delivery e </w:t>
      </w:r>
      <w:proofErr w:type="spellStart"/>
      <w:r>
        <w:t>Scale</w:t>
      </w:r>
      <w:proofErr w:type="spellEnd"/>
      <w:r>
        <w:t xml:space="preserve">. A </w:t>
      </w:r>
      <w:r>
        <w:t>Gerência Nacional de Inovação</w:t>
      </w:r>
      <w:r>
        <w:t xml:space="preserve"> assumiu a coordenação do modelo, oferecendo capacitação, apoio metodológico e articulação com áreas técnicas e jurídicas.</w:t>
      </w:r>
    </w:p>
    <w:p w14:paraId="72E66206" w14:textId="77777777" w:rsidR="006964F9" w:rsidRDefault="006964F9" w:rsidP="006964F9">
      <w:pPr>
        <w:spacing w:before="120" w:after="120"/>
      </w:pPr>
    </w:p>
    <w:p w14:paraId="0B4B712D" w14:textId="45EC55B2" w:rsidR="006964F9" w:rsidRDefault="006964F9" w:rsidP="006964F9">
      <w:pPr>
        <w:spacing w:before="120" w:after="120"/>
      </w:pPr>
      <w:r>
        <w:t>Para operacionalizar o Sandbox</w:t>
      </w:r>
      <w:r>
        <w:t xml:space="preserve"> CAIXA</w:t>
      </w:r>
      <w:r>
        <w:t xml:space="preserve">, foram desenvolvidos </w:t>
      </w:r>
      <w:r>
        <w:t>materiais e fluxos</w:t>
      </w:r>
      <w:r>
        <w:t xml:space="preserve"> </w:t>
      </w:r>
      <w:r>
        <w:t>para cadastramento, avaliação e acompanhamento dos experimentos</w:t>
      </w:r>
      <w:r>
        <w:t xml:space="preserve">. A plataforma </w:t>
      </w:r>
      <w:proofErr w:type="spellStart"/>
      <w:r>
        <w:t>Matchias</w:t>
      </w:r>
      <w:proofErr w:type="spellEnd"/>
      <w:r>
        <w:t xml:space="preserve"> da Startup Match-it</w:t>
      </w:r>
      <w:r>
        <w:t xml:space="preserve"> foi integrada ao processo para apoiar o planejamento dos experimentos com inteligência artificial.</w:t>
      </w:r>
    </w:p>
    <w:p w14:paraId="68417B86" w14:textId="77777777" w:rsidR="006964F9" w:rsidRDefault="006964F9" w:rsidP="006964F9">
      <w:pPr>
        <w:spacing w:before="120" w:after="120"/>
      </w:pPr>
    </w:p>
    <w:p w14:paraId="03CFDEA7" w14:textId="1A019674" w:rsidR="00C11941" w:rsidRDefault="006964F9" w:rsidP="006964F9">
      <w:pPr>
        <w:spacing w:before="120" w:after="120"/>
      </w:pPr>
      <w:r>
        <w:t xml:space="preserve">A intervenção também previu a flexibilização de normas internas, a </w:t>
      </w:r>
      <w:r>
        <w:t xml:space="preserve">possibilidade de </w:t>
      </w:r>
      <w:r>
        <w:t xml:space="preserve">criação de ambientes em nuvem para testes e a possibilidade de execução de </w:t>
      </w:r>
      <w:proofErr w:type="spellStart"/>
      <w:r>
        <w:t>MVPs</w:t>
      </w:r>
      <w:proofErr w:type="spellEnd"/>
      <w:r>
        <w:t xml:space="preserve"> com procedimentos simplificados. A governança garante que a responsabilidade pela execução dos experimentos permaneça com as unidades proponentes, enquanto o Sandbox</w:t>
      </w:r>
      <w:r>
        <w:t xml:space="preserve"> CAIXA</w:t>
      </w:r>
      <w:r>
        <w:t xml:space="preserve"> oferece suporte institucional</w:t>
      </w:r>
      <w:r>
        <w:t xml:space="preserve"> e governança para o processo.</w:t>
      </w:r>
    </w:p>
    <w:p w14:paraId="589D707A" w14:textId="77777777" w:rsidR="00C11941" w:rsidRDefault="00000000">
      <w:pPr>
        <w:spacing w:before="120" w:after="120"/>
        <w:rPr>
          <w:b/>
        </w:rPr>
      </w:pPr>
      <w:r>
        <w:rPr>
          <w:b/>
        </w:rPr>
        <w:t xml:space="preserve">3. RESULTADOS </w:t>
      </w:r>
    </w:p>
    <w:p w14:paraId="05895B9D" w14:textId="77777777" w:rsidR="00D14571" w:rsidRDefault="00D14571" w:rsidP="00D14571">
      <w:pPr>
        <w:spacing w:before="120" w:after="120"/>
      </w:pPr>
      <w:r>
        <w:lastRenderedPageBreak/>
        <w:t>Os resultados do Sandbox CAIXA foram expressivos. Na primeira chamada de experimentação, foram submetidas 72 propostas de experimentos, dos quais foram selecionados 16 para teste, enviados pelas Vice-Presidências ou Diretorias Executivas, com base em critérios técnicos e estratégicos definidos pelo Fórum Deliberativo de Inovação, composto por dirigentes da CAIXA. Os experimentos abrangeram temas como Open Finance, cartão de crédito, monetização de dados, parcerias socioambientais e automação no crédito para comércio exterior.</w:t>
      </w:r>
    </w:p>
    <w:p w14:paraId="018C3B0E" w14:textId="77777777" w:rsidR="00D14571" w:rsidRDefault="00D14571" w:rsidP="00D14571">
      <w:pPr>
        <w:spacing w:before="120" w:after="120"/>
      </w:pPr>
    </w:p>
    <w:p w14:paraId="7BC23138" w14:textId="77777777" w:rsidR="00D14571" w:rsidRDefault="00D14571" w:rsidP="00D14571">
      <w:pPr>
        <w:spacing w:before="120" w:after="120"/>
      </w:pPr>
      <w:r>
        <w:t>Dos 16 experimentos selecionados, 10 evoluíram e chegaram à fase final, demonstrando alto grau de maturidade e potencial de impacto. Três desses experimentos testaram suas soluções com clientes reais, o que representou um marco importante na validação prática das propostas. Entre os destaques, está o experimento de novo modelo de avaliação de risco para concessão de cartão de crédito, que resultou na emissão de mais de 3.500 cartões e na concessão de limite superior a R$ 18 milhões. Esse piloto demonstrou não apenas a viabilidade técnica da solução, mas também sua aceitação pelo público-alvo e seu impacto direto nos negócios da CAIXA.</w:t>
      </w:r>
    </w:p>
    <w:p w14:paraId="63E726D5" w14:textId="77777777" w:rsidR="00D14571" w:rsidRDefault="00D14571" w:rsidP="00D14571">
      <w:pPr>
        <w:spacing w:before="120" w:after="120"/>
      </w:pPr>
    </w:p>
    <w:p w14:paraId="35C99791" w14:textId="77777777" w:rsidR="00D14571" w:rsidRDefault="00D14571" w:rsidP="00D14571">
      <w:pPr>
        <w:spacing w:before="120" w:after="120"/>
      </w:pPr>
      <w:r>
        <w:t>Para os experimentadores, o Sandbox CAIXA representou uma oportunidade de protagonismo, permitindo propor, conduzir e validar ideias com apoio institucional. As unidades gestoras passaram a contar com um processo estruturado para testar soluções, reduzindo riscos e aumentando a efetividade das entregas. A Gerência Nacional de Inovação, por sua vez, consolidou-se como articuladora da inovação na CAIXA, promovendo cultura, capacitação e governança.</w:t>
      </w:r>
    </w:p>
    <w:p w14:paraId="14930775" w14:textId="77777777" w:rsidR="00D14571" w:rsidRDefault="00D14571" w:rsidP="00D14571">
      <w:pPr>
        <w:spacing w:before="120" w:after="120"/>
      </w:pPr>
    </w:p>
    <w:p w14:paraId="6791D2D1" w14:textId="77777777" w:rsidR="00D14571" w:rsidRDefault="00D14571" w:rsidP="00D14571">
      <w:pPr>
        <w:spacing w:before="120" w:after="120"/>
      </w:pPr>
      <w:r>
        <w:t>Outro benefício relevante foi a possibilidade inédita de flexibilização de normas internas, viabilizada pela governança do Sandbox. Essa característica permitiu que experimentos que antes seriam inviáveis sob as regras tradicionais pudessem ser conduzidos com segurança jurídica e institucional. A governança clara e estruturada criou um ambiente de confiança para que áreas técnicas, jurídicas e de compliance atuassem de forma colaborativa desde o início dos projetos, viabilizando soluções inovadoras com maior agilidade e menor risco.</w:t>
      </w:r>
    </w:p>
    <w:p w14:paraId="6051886C" w14:textId="77777777" w:rsidR="00D14571" w:rsidRDefault="00D14571" w:rsidP="00D14571">
      <w:pPr>
        <w:spacing w:before="120" w:after="120"/>
      </w:pPr>
    </w:p>
    <w:p w14:paraId="518BAAEB" w14:textId="77777777" w:rsidR="00D14571" w:rsidRDefault="00D14571" w:rsidP="00D14571">
      <w:pPr>
        <w:spacing w:before="120" w:after="120"/>
      </w:pPr>
      <w:r>
        <w:t>O Sandbox também gerou aprendizados institucionais valiosos, documentados em relatórios e utilizados para aprimorar o modelo. A tolerância ao erro e o foco em aprendizado permitiram que hipóteses fossem testadas com agilidade, sem comprometer a segurança ou a reputação da organização.</w:t>
      </w:r>
    </w:p>
    <w:p w14:paraId="4DD85086" w14:textId="0D74B68B" w:rsidR="00C11941" w:rsidRDefault="00000000" w:rsidP="00D14571">
      <w:pPr>
        <w:spacing w:before="120" w:after="120"/>
        <w:rPr>
          <w:b/>
        </w:rPr>
      </w:pPr>
      <w:r>
        <w:rPr>
          <w:b/>
        </w:rPr>
        <w:t>4. CONTRIBUIÇÕES</w:t>
      </w:r>
    </w:p>
    <w:p w14:paraId="35B61FA4" w14:textId="77777777" w:rsidR="00A05A0E" w:rsidRDefault="00A05A0E" w:rsidP="00A05A0E">
      <w:pPr>
        <w:spacing w:before="120" w:after="120"/>
      </w:pPr>
      <w:r>
        <w:t>As contribuições do Sandbox CAIXA são múltiplas e abrangem dimensões econômicas, sociais, ambientais, tecnológicas e gerenciais. Do ponto de vista econômico, o modelo permite validar soluções com menor custo e risco, otimizando investimentos e evitando desperdícios. A experimentação controlada reduz o ciclo de desenvolvimento e acelera a entrega de valor ao cliente.</w:t>
      </w:r>
    </w:p>
    <w:p w14:paraId="26E8A2EF" w14:textId="77777777" w:rsidR="00A05A0E" w:rsidRDefault="00A05A0E" w:rsidP="00A05A0E">
      <w:pPr>
        <w:spacing w:before="120" w:after="120"/>
      </w:pPr>
    </w:p>
    <w:p w14:paraId="45BF61D2" w14:textId="77777777" w:rsidR="00A05A0E" w:rsidRDefault="00A05A0E" w:rsidP="00A05A0E">
      <w:pPr>
        <w:spacing w:before="120" w:after="120"/>
      </w:pPr>
      <w:r>
        <w:t>Socialmente, o Sandbox promove a inclusão de ideias com impacto positivo, como projetos voltados ao fomento socioambiental e à melhoria da experiência do cliente. A possibilidade de testar soluções com foco em públicos vulneráveis ou em desafios sociais amplia o papel da CAIXA como agente de transformação.</w:t>
      </w:r>
    </w:p>
    <w:p w14:paraId="5A189B91" w14:textId="77777777" w:rsidR="00A05A0E" w:rsidRDefault="00A05A0E" w:rsidP="00A05A0E">
      <w:pPr>
        <w:spacing w:before="120" w:after="120"/>
      </w:pPr>
    </w:p>
    <w:p w14:paraId="7D14E130" w14:textId="2A87405B" w:rsidR="00A05A0E" w:rsidRDefault="00A05A0E" w:rsidP="00A05A0E">
      <w:pPr>
        <w:spacing w:before="120" w:after="120"/>
      </w:pPr>
      <w:r>
        <w:t>Em termos ambientais, o modelo incentiva a criação de soluções sustentáveis</w:t>
      </w:r>
      <w:r>
        <w:t xml:space="preserve"> </w:t>
      </w:r>
      <w:r>
        <w:t xml:space="preserve">ou a digitalização de processos que reduzem o consumo de </w:t>
      </w:r>
      <w:r>
        <w:t>papel, entre outros ganhos de eficiência</w:t>
      </w:r>
      <w:r>
        <w:t xml:space="preserve">. Um exemplo emblemático é o experimento do Sandbox </w:t>
      </w:r>
      <w:r>
        <w:t>Caixa de 2025, enviado por um empregado lotado em Agência</w:t>
      </w:r>
      <w:r>
        <w:t>, que propôs substituir os tradicionais cartões de visita em papel por cartões com tecnologia NFC. A solução, simples e de baixo custo,</w:t>
      </w:r>
      <w:r>
        <w:t xml:space="preserve"> em fase de estruturação para experimentação,</w:t>
      </w:r>
      <w:r>
        <w:t xml:space="preserve"> surgiu da ponta e demonstrou como pequenas ideias podem gerar grande impacto, ao eliminar o uso de papel, facilitar o networking e modernizar a imagem institucional da CAIXA.</w:t>
      </w:r>
    </w:p>
    <w:p w14:paraId="250FF4A3" w14:textId="77777777" w:rsidR="00A05A0E" w:rsidRDefault="00A05A0E" w:rsidP="00A05A0E">
      <w:pPr>
        <w:spacing w:before="120" w:after="120"/>
      </w:pPr>
    </w:p>
    <w:p w14:paraId="7028D0FA" w14:textId="77777777" w:rsidR="00A05A0E" w:rsidRDefault="00A05A0E" w:rsidP="00A05A0E">
      <w:pPr>
        <w:spacing w:before="120" w:after="120"/>
      </w:pPr>
      <w:r>
        <w:t xml:space="preserve">No campo tecnológico, o Sandbox impulsiona a adoção de novas ferramentas, como inteligência artificial, APIs e plataformas em nuvem. A integração com a plataforma </w:t>
      </w:r>
      <w:proofErr w:type="spellStart"/>
      <w:r>
        <w:t>Matchias</w:t>
      </w:r>
      <w:proofErr w:type="spellEnd"/>
      <w:r>
        <w:t xml:space="preserve"> é um exemplo de como a tecnologia pode apoiar o planejamento e a execução de experimentos de forma inteligente e automatizada.</w:t>
      </w:r>
    </w:p>
    <w:p w14:paraId="68E5F6C3" w14:textId="77777777" w:rsidR="00A05A0E" w:rsidRDefault="00A05A0E" w:rsidP="00A05A0E">
      <w:pPr>
        <w:spacing w:before="120" w:after="120"/>
      </w:pPr>
    </w:p>
    <w:p w14:paraId="59387F10" w14:textId="77777777" w:rsidR="00A05A0E" w:rsidRDefault="00A05A0E" w:rsidP="00A05A0E">
      <w:pPr>
        <w:spacing w:before="120" w:after="120"/>
      </w:pPr>
      <w:r>
        <w:t>Gerencialmente, o Sandbox CAIXA fortalece a governança da inovação, promove a cultura de experimentação e estimula a colaboração entre áreas. A clareza de papéis e responsabilidades, aliada à estruturação em fases, permite maior controle, rastreabilidade e aprendizado contínuo.</w:t>
      </w:r>
    </w:p>
    <w:p w14:paraId="676F7C0D" w14:textId="77777777" w:rsidR="00A05A0E" w:rsidRDefault="00A05A0E" w:rsidP="00A05A0E">
      <w:pPr>
        <w:spacing w:before="120" w:after="120"/>
      </w:pPr>
    </w:p>
    <w:p w14:paraId="621FD599" w14:textId="77777777" w:rsidR="00A05A0E" w:rsidRDefault="00A05A0E" w:rsidP="00A05A0E">
      <w:pPr>
        <w:spacing w:before="120" w:after="120"/>
      </w:pPr>
      <w:r>
        <w:t>Um dos principais diferenciais do modelo é a governança que permite, de forma inédita, a flexibilização de normas internas. Essa característica foi essencial para viabilizar experimentos que, em condições normativas tradicionais, não poderiam ser executados. A atuação integrada entre áreas técnicas, jurídicas e de compliance, desde a concepção até a execução dos testes, garantiu segurança institucional e agilidade na tomada de decisão, ampliando o alcance e a efetividade das soluções testadas.</w:t>
      </w:r>
    </w:p>
    <w:p w14:paraId="4CC0F176" w14:textId="2CF585EE" w:rsidR="00C11941" w:rsidRDefault="00000000" w:rsidP="00A05A0E">
      <w:pPr>
        <w:spacing w:before="120" w:after="120"/>
        <w:jc w:val="center"/>
        <w:rPr>
          <w:b/>
        </w:rPr>
      </w:pPr>
      <w:r>
        <w:rPr>
          <w:b/>
        </w:rPr>
        <w:t>AGRADECIMENTOS</w:t>
      </w:r>
    </w:p>
    <w:p w14:paraId="02EAA625" w14:textId="5E68941A" w:rsidR="00C11941" w:rsidRDefault="00E61322">
      <w:pPr>
        <w:spacing w:before="120" w:after="120"/>
      </w:pPr>
      <w:r w:rsidRPr="00E61322">
        <w:t xml:space="preserve">Agradecemos à </w:t>
      </w:r>
      <w:r w:rsidR="00A05A0E">
        <w:t xml:space="preserve">Gerência Nacional de Inovação - </w:t>
      </w:r>
      <w:r w:rsidRPr="00E61322">
        <w:t>GEINA, à</w:t>
      </w:r>
      <w:r w:rsidR="00A05A0E">
        <w:t xml:space="preserve"> Superintendência Nacional de Clientes, Canais e Inovação –</w:t>
      </w:r>
      <w:r w:rsidRPr="00E61322">
        <w:t xml:space="preserve"> SUECI,</w:t>
      </w:r>
      <w:r w:rsidR="00A05A0E">
        <w:t xml:space="preserve"> </w:t>
      </w:r>
      <w:r w:rsidR="00A05A0E" w:rsidRPr="00E61322">
        <w:t>à</w:t>
      </w:r>
      <w:r w:rsidR="00A05A0E">
        <w:t xml:space="preserve"> Diretoria de Clientes, Canais, Inteligência de Dados e Inovação – DECCI</w:t>
      </w:r>
      <w:r w:rsidRPr="00E61322">
        <w:t xml:space="preserve"> e às Vice-Presidências e Diretorias Executivas da CAIXA pelo apoio institucional e pela participação ativa na construção e execução do Sandbox CAIXA.</w:t>
      </w:r>
    </w:p>
    <w:p w14:paraId="30CFEF0C" w14:textId="77777777" w:rsidR="00E61322" w:rsidRDefault="00E61322">
      <w:pPr>
        <w:spacing w:before="120" w:after="120"/>
      </w:pPr>
    </w:p>
    <w:p w14:paraId="7EF48499" w14:textId="34CA6F65" w:rsidR="00C11941" w:rsidRDefault="00000000">
      <w:pPr>
        <w:spacing w:before="120" w:after="120"/>
        <w:jc w:val="center"/>
        <w:rPr>
          <w:b/>
        </w:rPr>
      </w:pPr>
      <w:r>
        <w:rPr>
          <w:b/>
        </w:rPr>
        <w:t>REFER</w:t>
      </w:r>
      <w:r w:rsidR="00A05A0E">
        <w:rPr>
          <w:b/>
        </w:rPr>
        <w:t>Ê</w:t>
      </w:r>
      <w:r>
        <w:rPr>
          <w:b/>
        </w:rPr>
        <w:t>NCIAS</w:t>
      </w:r>
    </w:p>
    <w:p w14:paraId="71FAD54F" w14:textId="77777777" w:rsidR="00E61322" w:rsidRDefault="00E61322">
      <w:pPr>
        <w:spacing w:before="120" w:after="120"/>
        <w:jc w:val="center"/>
        <w:rPr>
          <w:b/>
        </w:rPr>
      </w:pPr>
    </w:p>
    <w:p w14:paraId="5420719B" w14:textId="77777777" w:rsidR="00E61322" w:rsidRPr="00E61322" w:rsidRDefault="00E61322" w:rsidP="00E61322">
      <w:pPr>
        <w:spacing w:before="120" w:after="120"/>
      </w:pPr>
      <w:r w:rsidRPr="00E61322">
        <w:t>CAIXA ECONÔMICA FEDERAL. </w:t>
      </w:r>
      <w:r w:rsidRPr="00E61322">
        <w:rPr>
          <w:i/>
          <w:iCs/>
        </w:rPr>
        <w:t>MN OR219 – Manual Normativo de Inovação</w:t>
      </w:r>
      <w:r w:rsidRPr="00E61322">
        <w:t>. Brasília, DF, 2023.</w:t>
      </w:r>
    </w:p>
    <w:p w14:paraId="7BB31CF3" w14:textId="77777777" w:rsidR="00E61322" w:rsidRPr="00E61322" w:rsidRDefault="00E61322" w:rsidP="00E61322">
      <w:pPr>
        <w:spacing w:before="120" w:after="120"/>
      </w:pPr>
      <w:r w:rsidRPr="00E61322">
        <w:t>CAIXA ECONÔMICA FEDERAL. </w:t>
      </w:r>
      <w:r w:rsidRPr="00E61322">
        <w:rPr>
          <w:i/>
          <w:iCs/>
        </w:rPr>
        <w:t>Proposta de Gerenciamento de Projetos – Sandbox CAIXA</w:t>
      </w:r>
      <w:r w:rsidRPr="00E61322">
        <w:t>. Brasília, DF, 2024.</w:t>
      </w:r>
    </w:p>
    <w:p w14:paraId="216A87B9" w14:textId="77777777" w:rsidR="00E61322" w:rsidRPr="00E61322" w:rsidRDefault="00E61322" w:rsidP="00E61322">
      <w:pPr>
        <w:spacing w:before="120" w:after="120"/>
      </w:pPr>
      <w:r w:rsidRPr="00E61322">
        <w:t>CAIXA ECONÔMICA FEDERAL. </w:t>
      </w:r>
      <w:r w:rsidRPr="00E61322">
        <w:rPr>
          <w:i/>
          <w:iCs/>
        </w:rPr>
        <w:t>Anexo II – FAQ – Perguntas Frequentes – Sandbox CAIXA</w:t>
      </w:r>
      <w:r w:rsidRPr="00E61322">
        <w:t>. Brasília, DF, 2024.</w:t>
      </w:r>
    </w:p>
    <w:p w14:paraId="0EE577FC" w14:textId="77777777" w:rsidR="00E61322" w:rsidRPr="00E61322" w:rsidRDefault="00E61322" w:rsidP="00E61322">
      <w:pPr>
        <w:spacing w:before="120" w:after="120"/>
      </w:pPr>
      <w:r w:rsidRPr="00E61322">
        <w:t>GEINA – GN INOVAÇÃO. </w:t>
      </w:r>
      <w:r w:rsidRPr="00E61322">
        <w:rPr>
          <w:i/>
          <w:iCs/>
        </w:rPr>
        <w:t>Infográfico: Papéis e Responsabilidades no Sandbox CAIXA</w:t>
      </w:r>
      <w:r w:rsidRPr="00E61322">
        <w:t>. Brasília, DF, 2024.</w:t>
      </w:r>
    </w:p>
    <w:p w14:paraId="1E1845FB" w14:textId="40B7540E" w:rsidR="00C11941" w:rsidRDefault="00C11941" w:rsidP="00E61322">
      <w:pPr>
        <w:spacing w:before="120" w:after="120"/>
        <w:rPr>
          <w:b/>
        </w:rPr>
      </w:pPr>
    </w:p>
    <w:sectPr w:rsidR="00C11941">
      <w:headerReference w:type="first" r:id="rId8"/>
      <w:pgSz w:w="11906" w:h="16838"/>
      <w:pgMar w:top="1701" w:right="1134" w:bottom="1134" w:left="1701" w:header="0" w:footer="709"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24B1D8" w14:textId="77777777" w:rsidR="006B24E2" w:rsidRDefault="006B24E2">
      <w:r>
        <w:separator/>
      </w:r>
    </w:p>
  </w:endnote>
  <w:endnote w:type="continuationSeparator" w:id="0">
    <w:p w14:paraId="6A60843B" w14:textId="77777777" w:rsidR="006B24E2" w:rsidRDefault="006B24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63D69A" w14:textId="77777777" w:rsidR="006B24E2" w:rsidRDefault="006B24E2">
      <w:r>
        <w:separator/>
      </w:r>
    </w:p>
  </w:footnote>
  <w:footnote w:type="continuationSeparator" w:id="0">
    <w:p w14:paraId="26C25503" w14:textId="77777777" w:rsidR="006B24E2" w:rsidRDefault="006B24E2">
      <w:r>
        <w:continuationSeparator/>
      </w:r>
    </w:p>
  </w:footnote>
  <w:footnote w:id="1">
    <w:p w14:paraId="2088EBCB" w14:textId="0FAE8CF8" w:rsidR="006964F9" w:rsidRDefault="00BB6CC8">
      <w:pPr>
        <w:pStyle w:val="Textodenotaderodap"/>
      </w:pPr>
      <w:r>
        <w:rPr>
          <w:rStyle w:val="Refdenotaderodap"/>
        </w:rPr>
        <w:footnoteRef/>
      </w:r>
      <w:r>
        <w:t xml:space="preserve"> </w:t>
      </w:r>
      <w:r w:rsidR="006964F9">
        <w:t>Caixa Econômica Federal, lucas.d.santana@caixa.gov.br</w:t>
      </w:r>
    </w:p>
  </w:footnote>
  <w:footnote w:id="2">
    <w:p w14:paraId="042E0AF3" w14:textId="11721084" w:rsidR="006964F9" w:rsidRDefault="006964F9">
      <w:pPr>
        <w:pStyle w:val="Textodenotaderodap"/>
      </w:pPr>
      <w:r>
        <w:rPr>
          <w:rStyle w:val="Refdenotaderodap"/>
        </w:rPr>
        <w:footnoteRef/>
      </w:r>
      <w:r>
        <w:t xml:space="preserve"> Caixa Econômica Federal, </w:t>
      </w:r>
      <w:r w:rsidRPr="006964F9">
        <w:t>fernando.cividanes@caixa.gov.br</w:t>
      </w:r>
    </w:p>
  </w:footnote>
  <w:footnote w:id="3">
    <w:p w14:paraId="245EC089" w14:textId="2C4EBFC6" w:rsidR="006964F9" w:rsidRDefault="006964F9">
      <w:pPr>
        <w:pStyle w:val="Textodenotaderodap"/>
      </w:pPr>
      <w:r>
        <w:rPr>
          <w:rStyle w:val="Refdenotaderodap"/>
        </w:rPr>
        <w:footnoteRef/>
      </w:r>
      <w:r>
        <w:t xml:space="preserve"> Caixa Econômica Federal, </w:t>
      </w:r>
      <w:r w:rsidRPr="006964F9">
        <w:t>eduardo.martinho@caixa.gov.br</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A86EFC" w14:textId="7C21AC67" w:rsidR="00C11941" w:rsidRPr="006964F9" w:rsidRDefault="006964F9" w:rsidP="006964F9">
    <w:pPr>
      <w:pStyle w:val="Cabealho"/>
      <w:jc w:val="center"/>
    </w:pPr>
    <w:r>
      <w:rPr>
        <w:noProof/>
      </w:rPr>
      <w:drawing>
        <wp:anchor distT="0" distB="0" distL="114300" distR="114300" simplePos="0" relativeHeight="251658240" behindDoc="1" locked="0" layoutInCell="1" allowOverlap="1" wp14:anchorId="32DFDCDC" wp14:editId="7231E77B">
          <wp:simplePos x="0" y="0"/>
          <wp:positionH relativeFrom="column">
            <wp:posOffset>-1080135</wp:posOffset>
          </wp:positionH>
          <wp:positionV relativeFrom="paragraph">
            <wp:posOffset>0</wp:posOffset>
          </wp:positionV>
          <wp:extent cx="7548192" cy="2116455"/>
          <wp:effectExtent l="0" t="0" r="0" b="0"/>
          <wp:wrapNone/>
          <wp:docPr id="2117891340" name="image1.png" descr="Interface gráfica do usuário&#10;&#10;O conteúdo gerado por IA pode estar incorreto."/>
          <wp:cNvGraphicFramePr/>
          <a:graphic xmlns:a="http://schemas.openxmlformats.org/drawingml/2006/main">
            <a:graphicData uri="http://schemas.openxmlformats.org/drawingml/2006/picture">
              <pic:pic xmlns:pic="http://schemas.openxmlformats.org/drawingml/2006/picture">
                <pic:nvPicPr>
                  <pic:cNvPr id="2117891340" name="image1.png" descr="Interface gráfica do usuário&#10;&#10;O conteúdo gerado por IA pode estar incorreto."/>
                  <pic:cNvPicPr preferRelativeResize="0"/>
                </pic:nvPicPr>
                <pic:blipFill>
                  <a:blip r:embed="rId1">
                    <a:extLst>
                      <a:ext uri="{28A0092B-C50C-407E-A947-70E740481C1C}">
                        <a14:useLocalDpi xmlns:a14="http://schemas.microsoft.com/office/drawing/2010/main" val="0"/>
                      </a:ext>
                    </a:extLst>
                  </a:blip>
                  <a:srcRect/>
                  <a:stretch>
                    <a:fillRect/>
                  </a:stretch>
                </pic:blipFill>
                <pic:spPr>
                  <a:xfrm>
                    <a:off x="0" y="0"/>
                    <a:ext cx="7579973" cy="2125366"/>
                  </a:xfrm>
                  <a:prstGeom prst="rect">
                    <a:avLst/>
                  </a:prstGeom>
                  <a:ln/>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11941"/>
    <w:rsid w:val="001B5498"/>
    <w:rsid w:val="005F6EC1"/>
    <w:rsid w:val="006964F9"/>
    <w:rsid w:val="006B24E2"/>
    <w:rsid w:val="00A05A0E"/>
    <w:rsid w:val="00BB6CC8"/>
    <w:rsid w:val="00C11941"/>
    <w:rsid w:val="00D07331"/>
    <w:rsid w:val="00D14571"/>
    <w:rsid w:val="00E61322"/>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048E33C"/>
  <w15:docId w15:val="{E0FEA2EF-9485-426D-B0CE-983B3FDEC3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pt-BR" w:eastAsia="pt-BR"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rPr>
  </w:style>
  <w:style w:type="paragraph" w:styleId="Ttulo5">
    <w:name w:val="heading 5"/>
    <w:basedOn w:val="Normal"/>
    <w:next w:val="Normal"/>
    <w:uiPriority w:val="9"/>
    <w:semiHidden/>
    <w:unhideWhenUsed/>
    <w:qFormat/>
    <w:pPr>
      <w:keepNext/>
      <w:keepLines/>
      <w:spacing w:before="220" w:after="40"/>
      <w:outlineLvl w:val="4"/>
    </w:pPr>
    <w:rPr>
      <w:b/>
      <w:sz w:val="22"/>
      <w:szCs w:val="22"/>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ontepargpadro">
    <w:name w:val="Default Paragraph Font"/>
    <w:uiPriority w:val="1"/>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paragraph" w:styleId="Cabealho">
    <w:name w:val="header"/>
    <w:basedOn w:val="Normal"/>
    <w:link w:val="CabealhoChar"/>
    <w:uiPriority w:val="99"/>
    <w:unhideWhenUsed/>
    <w:rsid w:val="001C7E78"/>
    <w:pPr>
      <w:tabs>
        <w:tab w:val="center" w:pos="4252"/>
        <w:tab w:val="right" w:pos="8504"/>
      </w:tabs>
    </w:pPr>
  </w:style>
  <w:style w:type="character" w:customStyle="1" w:styleId="CabealhoChar">
    <w:name w:val="Cabeçalho Char"/>
    <w:basedOn w:val="Fontepargpadro"/>
    <w:link w:val="Cabealho"/>
    <w:uiPriority w:val="99"/>
    <w:rsid w:val="001C7E78"/>
  </w:style>
  <w:style w:type="paragraph" w:styleId="Rodap">
    <w:name w:val="footer"/>
    <w:basedOn w:val="Normal"/>
    <w:link w:val="RodapChar"/>
    <w:uiPriority w:val="99"/>
    <w:unhideWhenUsed/>
    <w:rsid w:val="001C7E78"/>
    <w:pPr>
      <w:tabs>
        <w:tab w:val="center" w:pos="4252"/>
        <w:tab w:val="right" w:pos="8504"/>
      </w:tabs>
    </w:pPr>
  </w:style>
  <w:style w:type="character" w:customStyle="1" w:styleId="RodapChar">
    <w:name w:val="Rodapé Char"/>
    <w:basedOn w:val="Fontepargpadro"/>
    <w:link w:val="Rodap"/>
    <w:uiPriority w:val="99"/>
    <w:rsid w:val="001C7E78"/>
  </w:style>
  <w:style w:type="paragraph" w:styleId="PargrafodaLista">
    <w:name w:val="List Paragraph"/>
    <w:basedOn w:val="Normal"/>
    <w:uiPriority w:val="34"/>
    <w:qFormat/>
    <w:rsid w:val="001C7E78"/>
    <w:pPr>
      <w:ind w:left="720"/>
      <w:contextualSpacing/>
    </w:pPr>
  </w:style>
  <w:style w:type="table" w:styleId="Tabelacomgrade">
    <w:name w:val="Table Grid"/>
    <w:basedOn w:val="Tabelanormal"/>
    <w:uiPriority w:val="39"/>
    <w:rsid w:val="00084E0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notaderodap">
    <w:name w:val="footnote text"/>
    <w:basedOn w:val="Normal"/>
    <w:link w:val="TextodenotaderodapChar"/>
    <w:uiPriority w:val="99"/>
    <w:semiHidden/>
    <w:unhideWhenUsed/>
    <w:rsid w:val="00C1750A"/>
    <w:rPr>
      <w:sz w:val="20"/>
      <w:szCs w:val="20"/>
    </w:rPr>
  </w:style>
  <w:style w:type="character" w:customStyle="1" w:styleId="TextodenotaderodapChar">
    <w:name w:val="Texto de nota de rodapé Char"/>
    <w:basedOn w:val="Fontepargpadro"/>
    <w:link w:val="Textodenotaderodap"/>
    <w:uiPriority w:val="99"/>
    <w:semiHidden/>
    <w:rsid w:val="00C1750A"/>
    <w:rPr>
      <w:sz w:val="20"/>
      <w:szCs w:val="20"/>
    </w:rPr>
  </w:style>
  <w:style w:type="character" w:styleId="Refdenotaderodap">
    <w:name w:val="footnote reference"/>
    <w:basedOn w:val="Fontepargpadro"/>
    <w:uiPriority w:val="99"/>
    <w:semiHidden/>
    <w:unhideWhenUsed/>
    <w:rsid w:val="00C1750A"/>
    <w:rPr>
      <w:vertAlign w:val="superscript"/>
    </w:rPr>
  </w:style>
  <w:style w:type="character" w:styleId="Hyperlink">
    <w:name w:val="Hyperlink"/>
    <w:basedOn w:val="Fontepargpadro"/>
    <w:uiPriority w:val="99"/>
    <w:unhideWhenUsed/>
    <w:rsid w:val="004263BE"/>
    <w:rPr>
      <w:color w:val="0563C1" w:themeColor="hyperlink"/>
      <w:u w:val="single"/>
    </w:rPr>
  </w:style>
  <w:style w:type="character" w:styleId="MenoPendente">
    <w:name w:val="Unresolved Mention"/>
    <w:basedOn w:val="Fontepargpadro"/>
    <w:uiPriority w:val="99"/>
    <w:semiHidden/>
    <w:unhideWhenUsed/>
    <w:rsid w:val="004263BE"/>
    <w:rPr>
      <w:color w:val="605E5C"/>
      <w:shd w:val="clear" w:color="auto" w:fill="E1DFDD"/>
    </w:rPr>
  </w:style>
  <w:style w:type="table" w:customStyle="1" w:styleId="a">
    <w:basedOn w:val="TableNormal0"/>
    <w:tblPr>
      <w:tblStyleRowBandSize w:val="1"/>
      <w:tblStyleColBandSize w:val="1"/>
      <w:tblCellMar>
        <w:top w:w="0" w:type="dxa"/>
        <w:left w:w="108" w:type="dxa"/>
        <w:bottom w:w="0" w:type="dxa"/>
        <w:right w:w="108" w:type="dxa"/>
      </w:tblCellMar>
    </w:tbl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0">
    <w:basedOn w:val="TableNormal0"/>
    <w:tblPr>
      <w:tblStyleRowBandSize w:val="1"/>
      <w:tblStyleColBandSize w:val="1"/>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oyB4BX+FILTg3/QXvNYD2tSRggQ==">CgMxLjA4AHIhMWVtSWNya1VmUFNZLWlmSXlZWEFPRlNXcTRfT2U5Rllu</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1DA6E3C7-CAD4-4A32-9786-789D36BC94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4</Pages>
  <Words>1576</Words>
  <Characters>8516</Characters>
  <Application>Microsoft Office Word</Application>
  <DocSecurity>0</DocSecurity>
  <Lines>70</Lines>
  <Paragraphs>20</Paragraphs>
  <ScaleCrop>false</ScaleCrop>
  <HeadingPairs>
    <vt:vector size="2" baseType="variant">
      <vt:variant>
        <vt:lpstr>Título</vt:lpstr>
      </vt:variant>
      <vt:variant>
        <vt:i4>1</vt:i4>
      </vt:variant>
    </vt:vector>
  </HeadingPairs>
  <TitlesOfParts>
    <vt:vector size="1" baseType="lpstr">
      <vt:lpstr/>
    </vt:vector>
  </TitlesOfParts>
  <Company>Caixa Economica Federal</Company>
  <LinksUpToDate>false</LinksUpToDate>
  <CharactersWithSpaces>10072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Luiz Guilherme Rodrigues Antunes</dc:creator>
  <cp:lastModifiedBy>Lucas Zaccaro Dias Santana</cp:lastModifiedBy>
  <cp:revision>2</cp:revision>
  <dcterms:created xsi:type="dcterms:W3CDTF">2025-07-21T20:27:00Z</dcterms:created>
  <dcterms:modified xsi:type="dcterms:W3CDTF">2025-07-21T20:27:00Z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06dbf39e-ba9e-426c-817a-2e71d8ab39da</vt:lpwstr>
  </property>
  <property fmtid="{D5CDD505-2E9C-101B-9397-08002B2CF9AE}" pid="3" name="MSIP_Label_fde7aacd-7cc4-4c31-9e6f-7ef306428f09_Enabled">
    <vt:lpwstr>true</vt:lpwstr>
  </property>
  <property fmtid="{D5CDD505-2E9C-101B-9397-08002B2CF9AE}" pid="4" name="MSIP_Label_fde7aacd-7cc4-4c31-9e6f-7ef306428f09_SetDate">
    <vt:lpwstr>2025-07-21T19:24:44Z</vt:lpwstr>
  </property>
  <property fmtid="{D5CDD505-2E9C-101B-9397-08002B2CF9AE}" pid="5" name="MSIP_Label_fde7aacd-7cc4-4c31-9e6f-7ef306428f09_Method">
    <vt:lpwstr>Privileged</vt:lpwstr>
  </property>
  <property fmtid="{D5CDD505-2E9C-101B-9397-08002B2CF9AE}" pid="6" name="MSIP_Label_fde7aacd-7cc4-4c31-9e6f-7ef306428f09_Name">
    <vt:lpwstr>_PUBLICO</vt:lpwstr>
  </property>
  <property fmtid="{D5CDD505-2E9C-101B-9397-08002B2CF9AE}" pid="7" name="MSIP_Label_fde7aacd-7cc4-4c31-9e6f-7ef306428f09_SiteId">
    <vt:lpwstr>ab9bba98-684a-43fb-add8-9c2bebede229</vt:lpwstr>
  </property>
  <property fmtid="{D5CDD505-2E9C-101B-9397-08002B2CF9AE}" pid="8" name="MSIP_Label_fde7aacd-7cc4-4c31-9e6f-7ef306428f09_ActionId">
    <vt:lpwstr>85c78ece-7ed0-4e84-91a6-6179f7b7d428</vt:lpwstr>
  </property>
  <property fmtid="{D5CDD505-2E9C-101B-9397-08002B2CF9AE}" pid="9" name="MSIP_Label_fde7aacd-7cc4-4c31-9e6f-7ef306428f09_ContentBits">
    <vt:lpwstr>1</vt:lpwstr>
  </property>
  <property fmtid="{D5CDD505-2E9C-101B-9397-08002B2CF9AE}" pid="10" name="MSIP_Label_fde7aacd-7cc4-4c31-9e6f-7ef306428f09_Tag">
    <vt:lpwstr>10, 0, 1, 1</vt:lpwstr>
  </property>
</Properties>
</file>