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xmlns:wp14="http://schemas.microsoft.com/office/word/2010/wordml" w:rsidR="00DE2DFE" w:rsidRDefault="00DE2DFE" w14:paraId="672A6659" wp14:textId="77777777">
      <w:pPr>
        <w:spacing w:before="120" w:after="120"/>
        <w:jc w:val="center"/>
        <w:rPr>
          <w:b/>
        </w:rPr>
      </w:pPr>
    </w:p>
    <w:p w:rsidR="4D82D3B3" w:rsidP="2CDBA8EF" w:rsidRDefault="4D82D3B3" w14:paraId="7D624A14" w14:textId="7F667D8F">
      <w:pPr>
        <w:spacing w:before="120" w:after="120"/>
        <w:jc w:val="center"/>
        <w:rPr>
          <w:b w:val="1"/>
          <w:bCs w:val="1"/>
          <w:sz w:val="40"/>
          <w:szCs w:val="40"/>
        </w:rPr>
      </w:pPr>
      <w:r w:rsidRPr="2CDBA8EF" w:rsidR="4D82D3B3">
        <w:rPr>
          <w:b w:val="1"/>
          <w:bCs w:val="1"/>
          <w:sz w:val="36"/>
          <w:szCs w:val="36"/>
        </w:rPr>
        <w:t xml:space="preserve">Do desafio financeiro ao case de sucesso: como a </w:t>
      </w:r>
      <w:r w:rsidRPr="2CDBA8EF" w:rsidR="4D82D3B3">
        <w:rPr>
          <w:b w:val="1"/>
          <w:bCs w:val="1"/>
          <w:sz w:val="36"/>
          <w:szCs w:val="36"/>
        </w:rPr>
        <w:t>BeFly</w:t>
      </w:r>
      <w:r w:rsidRPr="2CDBA8EF" w:rsidR="4D82D3B3">
        <w:rPr>
          <w:b w:val="1"/>
          <w:bCs w:val="1"/>
          <w:sz w:val="36"/>
          <w:szCs w:val="36"/>
        </w:rPr>
        <w:t xml:space="preserve"> zerou seu passivo de comissões</w:t>
      </w:r>
    </w:p>
    <w:p xmlns:wp14="http://schemas.microsoft.com/office/word/2010/wordml" w:rsidR="00DE2DFE" w:rsidRDefault="00DE2DFE" w14:paraId="0A37501D" wp14:textId="77777777">
      <w:pPr>
        <w:spacing w:before="120" w:after="120"/>
        <w:jc w:val="center"/>
        <w:rPr>
          <w:b/>
        </w:rPr>
      </w:pPr>
    </w:p>
    <w:p xmlns:wp14="http://schemas.microsoft.com/office/word/2010/wordml" w:rsidR="00DE2DFE" w:rsidP="309D7064" w:rsidRDefault="0020082F" w14:paraId="0F24B204" wp14:textId="7C4B9653">
      <w:pPr>
        <w:spacing w:before="120" w:after="120"/>
        <w:jc w:val="center"/>
        <w:rPr>
          <w:sz w:val="22"/>
          <w:szCs w:val="22"/>
        </w:rPr>
      </w:pPr>
      <w:r w:rsidRPr="309D7064" w:rsidR="4D82D3B3">
        <w:rPr>
          <w:sz w:val="22"/>
          <w:szCs w:val="22"/>
        </w:rPr>
        <w:t>Tiago Favari</w:t>
      </w:r>
      <w:r w:rsidRPr="309D7064" w:rsidR="0020082F">
        <w:rPr>
          <w:sz w:val="22"/>
          <w:szCs w:val="22"/>
        </w:rPr>
        <w:t xml:space="preserve">; </w:t>
      </w:r>
      <w:r w:rsidRPr="309D7064" w:rsidR="095CAEB4">
        <w:rPr>
          <w:sz w:val="22"/>
          <w:szCs w:val="22"/>
        </w:rPr>
        <w:t xml:space="preserve">Alcides </w:t>
      </w:r>
      <w:r w:rsidRPr="309D7064" w:rsidR="095CAEB4">
        <w:rPr>
          <w:sz w:val="22"/>
          <w:szCs w:val="22"/>
        </w:rPr>
        <w:t xml:space="preserve">Silva</w:t>
      </w:r>
      <w:r w:rsidRPr="309D7064" w:rsidR="0020082F">
        <w:rPr>
          <w:sz w:val="22"/>
          <w:szCs w:val="22"/>
        </w:rPr>
        <w:t xml:space="preserve">; </w:t>
      </w:r>
      <w:r w:rsidRPr="309D7064" w:rsidR="6267DF23">
        <w:rPr>
          <w:sz w:val="22"/>
          <w:szCs w:val="22"/>
        </w:rPr>
        <w:t xml:space="preserve">Audrey </w:t>
      </w:r>
      <w:r w:rsidRPr="309D7064" w:rsidR="6267DF23">
        <w:rPr>
          <w:sz w:val="22"/>
          <w:szCs w:val="22"/>
        </w:rPr>
        <w:t>Chicalé</w:t>
      </w:r>
      <w:r w:rsidRPr="309D7064" w:rsidR="0020082F">
        <w:rPr>
          <w:sz w:val="22"/>
          <w:szCs w:val="22"/>
        </w:rPr>
        <w:t xml:space="preserve">; </w:t>
      </w:r>
      <w:r w:rsidRPr="309D7064" w:rsidR="5904B60A">
        <w:rPr>
          <w:sz w:val="22"/>
          <w:szCs w:val="22"/>
        </w:rPr>
        <w:t>Kleber Mariz</w:t>
      </w:r>
      <w:r w:rsidRPr="309D7064" w:rsidR="0020082F">
        <w:rPr>
          <w:sz w:val="22"/>
          <w:szCs w:val="22"/>
        </w:rPr>
        <w:t xml:space="preserve">; </w:t>
      </w:r>
      <w:r w:rsidRPr="309D7064" w:rsidR="2B4448EB">
        <w:rPr>
          <w:sz w:val="22"/>
          <w:szCs w:val="22"/>
        </w:rPr>
        <w:t>Pedro Bono; Manuella Bernardes.</w:t>
      </w:r>
    </w:p>
    <w:p xmlns:wp14="http://schemas.microsoft.com/office/word/2010/wordml" w:rsidR="00DE2DFE" w:rsidRDefault="00DE2DFE" w14:paraId="5DAB6C7B" wp14:textId="77777777">
      <w:pPr>
        <w:spacing w:before="120" w:after="120"/>
        <w:jc w:val="center"/>
        <w:rPr>
          <w:b/>
        </w:rPr>
      </w:pPr>
    </w:p>
    <w:p xmlns:wp14="http://schemas.microsoft.com/office/word/2010/wordml" w:rsidR="00DE2DFE" w:rsidRDefault="0020082F" w14:paraId="343337A4" wp14:textId="77777777">
      <w:pPr>
        <w:spacing w:before="120" w:after="120"/>
        <w:rPr>
          <w:b/>
        </w:rPr>
      </w:pPr>
      <w:r w:rsidRPr="309D7064" w:rsidR="0020082F">
        <w:rPr>
          <w:b w:val="1"/>
          <w:bCs w:val="1"/>
        </w:rPr>
        <w:t>RESUMO</w:t>
      </w:r>
    </w:p>
    <w:p w:rsidR="680864DA" w:rsidP="309D7064" w:rsidRDefault="680864DA" w14:paraId="5DBB4921" w14:textId="34A5C53F">
      <w:pPr>
        <w:spacing w:before="120" w:after="120"/>
        <w:ind w:right="424"/>
      </w:pPr>
      <w:r w:rsidR="680864DA">
        <w:rPr/>
        <w:t>Na BeFly, identificamos um problema sério: tínhamos mais de R$ 5 milhões em comissões que deveriam ter sido cobradas, mas que ficaram para trás por falhas no processo. A empresa que nos apoiava na cobrança não dava conta da complexidade da operação, e com isso, esse valor foi se acumulando em um backlog difícil de resolver.</w:t>
      </w:r>
    </w:p>
    <w:p w:rsidR="680864DA" w:rsidP="309D7064" w:rsidRDefault="680864DA" w14:paraId="6E86BA03" w14:textId="32E58E4A">
      <w:pPr>
        <w:pStyle w:val="Normal"/>
        <w:spacing w:before="120" w:after="120"/>
        <w:ind w:right="424"/>
      </w:pPr>
      <w:r w:rsidR="680864DA">
        <w:rPr/>
        <w:t>Isso gerava um impacto direto no financeiro e um desgaste grande entre os times. Sabíamos que havia dinheiro para receber, mas não conseguíamos transformar isso em resultado. Foi quando percebemos que sozinhos não conseguiríamos avançar. Era hora de buscar uma solução fora da casa.</w:t>
      </w:r>
    </w:p>
    <w:p w:rsidR="680864DA" w:rsidP="309D7064" w:rsidRDefault="680864DA" w14:paraId="0763FD12" w14:textId="29BCC460">
      <w:pPr>
        <w:pStyle w:val="Normal"/>
        <w:spacing w:before="120" w:after="120"/>
        <w:ind w:right="424"/>
      </w:pPr>
      <w:r w:rsidR="680864DA">
        <w:rPr/>
        <w:t>A partir dessa dor, a área de Inovação da BeFly, junto com o time Financeiro, de Cobrança e a unidade de negócio responsável, decidiu criar um desafio chamado “Desafio de Soluções Financeiras”, em parceria com o Turistech Hub. A ideia era buscar empresas que pudessem ajudar a melhorar os processos financeiros em diversos setores do departamento, trazendo novas soluções para problemas que há muito tempo vinham sendo tratados de forma manual.</w:t>
      </w:r>
    </w:p>
    <w:p w:rsidR="680864DA" w:rsidP="309D7064" w:rsidRDefault="680864DA" w14:paraId="154EDB3C" w14:textId="5B13AFB7">
      <w:pPr>
        <w:pStyle w:val="Normal"/>
        <w:spacing w:before="120" w:after="120"/>
        <w:ind w:right="424"/>
      </w:pPr>
      <w:r w:rsidR="680864DA">
        <w:rPr/>
        <w:t>Foi assim que chegamos à Receiv, uma startup que se destacou logo de cara pela clareza na proposta, pela capacidade técnica e pelo entendimento do nosso problema. Iniciamos uma prova de conceito com duração de três meses. Nesse período, a startup organizou as informações e começou a estruturar uma régua inteligente de cobrança.</w:t>
      </w:r>
    </w:p>
    <w:p w:rsidR="680864DA" w:rsidP="309D7064" w:rsidRDefault="680864DA" w14:paraId="67FFC5CF" w14:textId="21A89E36">
      <w:pPr>
        <w:pStyle w:val="Normal"/>
        <w:spacing w:before="120" w:after="120"/>
        <w:ind w:right="424"/>
      </w:pPr>
      <w:r w:rsidR="680864DA">
        <w:rPr/>
        <w:t>O resultado superou qualquer expectativa: conseguimos recuperar R$ 7 milhões em comissões que estavam paradas, sem previsão de retorno. Além disso, conseguimos organizar o processo, ganhar visibilidade sobre os recebíveis e dar mais autonomia ao nosso time interno.</w:t>
      </w:r>
    </w:p>
    <w:p w:rsidR="680864DA" w:rsidP="309D7064" w:rsidRDefault="680864DA" w14:paraId="2B9DE2A7" w14:textId="303F0C5F">
      <w:pPr>
        <w:pStyle w:val="Normal"/>
        <w:spacing w:before="120" w:after="120"/>
        <w:ind w:right="424"/>
      </w:pPr>
      <w:r w:rsidR="680864DA">
        <w:rPr/>
        <w:t>Esse projeto mostrou que inovação aberta não é só sobre novas ideias — é sobre resolver problemas concretos com quem já tem a solução pronta. E mais do que a recuperação financeira, o maior ganho foi a mudança de mentalidade: passamos a olhar para a inovação como uma forma prática de resolver problemas de negócio.</w:t>
      </w:r>
    </w:p>
    <w:p w:rsidR="680864DA" w:rsidP="309D7064" w:rsidRDefault="680864DA" w14:paraId="592D735F" w14:textId="2D200D35">
      <w:pPr>
        <w:pStyle w:val="Normal"/>
        <w:spacing w:before="120" w:after="120"/>
        <w:ind w:right="424"/>
      </w:pPr>
      <w:r w:rsidR="680864DA">
        <w:rPr/>
        <w:t>Depois da PoC, além de continuar no processo de cobrança de comissões, desenvolvemos em conjunto com a Receiv um portal do fornecedor, que estamos chamando de Central de Reservas. Esse portal vai dar mais autonomia para os hotéis validarem as reservas diretamente com a gente e também vai automatizar rotinas importantes como faturamento, comissões e gestão de cartões de crédito — atividades que antes eram feitas manualmente, por e-mail.</w:t>
      </w:r>
    </w:p>
    <w:p w:rsidR="680864DA" w:rsidP="309D7064" w:rsidRDefault="680864DA" w14:paraId="7F575569" w14:textId="72260347">
      <w:pPr>
        <w:pStyle w:val="Normal"/>
        <w:spacing w:before="120" w:after="120"/>
        <w:ind w:right="424"/>
      </w:pPr>
      <w:r w:rsidR="680864DA">
        <w:rPr/>
        <w:t>Esse é um exemplo simples, mas muito claro, de como a colaboração entre grandes empresas e startups pode gerar valor real, rápido e mensurável.</w:t>
      </w:r>
    </w:p>
    <w:p w:rsidR="309D7064" w:rsidP="309D7064" w:rsidRDefault="309D7064" w14:paraId="3D47EDE4" w14:textId="18BBC8BD">
      <w:pPr>
        <w:spacing w:before="120" w:after="120"/>
        <w:ind w:right="424"/>
      </w:pPr>
    </w:p>
    <w:p xmlns:wp14="http://schemas.microsoft.com/office/word/2010/wordml" w:rsidR="00DE2DFE" w:rsidRDefault="0020082F" w14:paraId="6645A121" wp14:textId="49A71CE9">
      <w:pPr>
        <w:spacing w:before="120" w:after="120"/>
      </w:pPr>
      <w:r w:rsidRPr="309D7064" w:rsidR="0020082F">
        <w:rPr>
          <w:b w:val="1"/>
          <w:bCs w:val="1"/>
        </w:rPr>
        <w:t>PALAVRAS-CHAVE</w:t>
      </w:r>
      <w:r w:rsidR="0020082F">
        <w:rPr/>
        <w:t xml:space="preserve">: </w:t>
      </w:r>
      <w:r w:rsidR="1B7CC584">
        <w:rPr/>
        <w:t>Inovação aberta, Recebíveis, Automatização, Startup, Colaboração.</w:t>
      </w:r>
    </w:p>
    <w:p xmlns:wp14="http://schemas.microsoft.com/office/word/2010/wordml" w:rsidR="00DE2DFE" w:rsidRDefault="00DE2DFE" w14:paraId="02EB378F" wp14:textId="77777777"/>
    <w:tbl>
      <w:tblPr>
        <w:tblW w:w="9067" w:type="dxa"/>
        <w:tblInd w:w="-3"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Look w:val="0400" w:firstRow="0" w:lastRow="0" w:firstColumn="0" w:lastColumn="0" w:noHBand="0" w:noVBand="1"/>
      </w:tblPr>
      <w:tblGrid>
        <w:gridCol w:w="3773"/>
        <w:gridCol w:w="5294"/>
      </w:tblGrid>
      <w:tr xmlns:wp14="http://schemas.microsoft.com/office/word/2010/wordml" w:rsidR="00DE2DFE" w:rsidTr="309D7064" w14:paraId="03A8E2C6" wp14:textId="77777777">
        <w:trPr>
          <w:trHeight w:val="273"/>
        </w:trPr>
        <w:tc>
          <w:tcPr>
            <w:tcW w:w="3773" w:type="dxa"/>
            <w:tcMar/>
          </w:tcPr>
          <w:p w:rsidR="00DE2DFE" w:rsidRDefault="0020082F" w14:paraId="047CE718" wp14:textId="77777777">
            <w:pPr>
              <w:jc w:val="center"/>
              <w:rPr>
                <w:b/>
              </w:rPr>
            </w:pPr>
            <w:r>
              <w:rPr>
                <w:b/>
              </w:rPr>
              <w:t>NOME DO ATOR</w:t>
            </w:r>
          </w:p>
        </w:tc>
        <w:tc>
          <w:tcPr>
            <w:tcW w:w="5294" w:type="dxa"/>
            <w:tcMar/>
          </w:tcPr>
          <w:p w:rsidR="00DE2DFE" w:rsidRDefault="0020082F" w14:paraId="6B73D245" wp14:textId="77777777">
            <w:pPr>
              <w:jc w:val="center"/>
              <w:rPr>
                <w:b/>
              </w:rPr>
            </w:pPr>
            <w:r>
              <w:rPr>
                <w:b/>
              </w:rPr>
              <w:t>PAPEL NO ECOSSISTEMA</w:t>
            </w:r>
          </w:p>
        </w:tc>
      </w:tr>
      <w:tr xmlns:wp14="http://schemas.microsoft.com/office/word/2010/wordml" w:rsidR="00DE2DFE" w:rsidTr="309D7064" w14:paraId="0E425166" wp14:textId="77777777">
        <w:trPr>
          <w:trHeight w:val="273"/>
        </w:trPr>
        <w:tc>
          <w:tcPr>
            <w:tcW w:w="3773" w:type="dxa"/>
            <w:tcMar/>
          </w:tcPr>
          <w:p w:rsidR="00DE2DFE" w:rsidP="309D7064" w:rsidRDefault="0020082F" w14:paraId="0EDE891E" wp14:textId="2BBA61D3">
            <w:pPr>
              <w:pStyle w:val="Normal"/>
              <w:suppressLineNumbers w:val="0"/>
              <w:bidi w:val="0"/>
              <w:spacing w:before="0" w:beforeAutospacing="off" w:after="0" w:afterAutospacing="off" w:line="259" w:lineRule="auto"/>
              <w:ind w:left="0" w:right="0"/>
              <w:jc w:val="both"/>
            </w:pPr>
            <w:r w:rsidR="54DB9560">
              <w:rPr/>
              <w:t>BeFly</w:t>
            </w:r>
          </w:p>
        </w:tc>
        <w:tc>
          <w:tcPr>
            <w:tcW w:w="5294" w:type="dxa"/>
            <w:tcMar/>
          </w:tcPr>
          <w:p w:rsidR="00DE2DFE" w:rsidP="309D7064" w:rsidRDefault="0020082F" w14:paraId="414B3FA4" wp14:textId="306636ED">
            <w:pPr>
              <w:pStyle w:val="Normal"/>
              <w:suppressLineNumbers w:val="0"/>
              <w:bidi w:val="0"/>
              <w:spacing w:before="0" w:beforeAutospacing="off" w:after="0" w:afterAutospacing="off" w:line="259" w:lineRule="auto"/>
              <w:ind w:left="0" w:right="0"/>
              <w:jc w:val="both"/>
            </w:pPr>
            <w:r w:rsidR="0AF4C8C2">
              <w:rPr/>
              <w:t>Corporação</w:t>
            </w:r>
          </w:p>
        </w:tc>
      </w:tr>
      <w:tr xmlns:wp14="http://schemas.microsoft.com/office/word/2010/wordml" w:rsidR="00DE2DFE" w:rsidTr="309D7064" w14:paraId="778D79AF" wp14:textId="77777777">
        <w:trPr>
          <w:trHeight w:val="273"/>
        </w:trPr>
        <w:tc>
          <w:tcPr>
            <w:tcW w:w="3773" w:type="dxa"/>
            <w:tcMar/>
          </w:tcPr>
          <w:p w:rsidR="00DE2DFE" w:rsidP="309D7064" w:rsidRDefault="0020082F" w14:paraId="168C88CC" wp14:textId="3FBBB486">
            <w:pPr>
              <w:pStyle w:val="Normal"/>
              <w:suppressLineNumbers w:val="0"/>
              <w:bidi w:val="0"/>
              <w:spacing w:before="0" w:beforeAutospacing="off" w:after="0" w:afterAutospacing="off" w:line="259" w:lineRule="auto"/>
              <w:ind w:left="0" w:right="0"/>
              <w:jc w:val="both"/>
            </w:pPr>
            <w:r w:rsidR="0AF4C8C2">
              <w:rPr/>
              <w:t>Receiv</w:t>
            </w:r>
          </w:p>
        </w:tc>
        <w:tc>
          <w:tcPr>
            <w:tcW w:w="5294" w:type="dxa"/>
            <w:tcMar/>
          </w:tcPr>
          <w:p w:rsidR="00DE2DFE" w:rsidRDefault="0020082F" w14:paraId="37F51782" wp14:textId="4106753C">
            <w:r w:rsidR="0020082F">
              <w:rPr/>
              <w:t>Startup</w:t>
            </w:r>
          </w:p>
        </w:tc>
      </w:tr>
    </w:tbl>
    <w:p w:rsidR="309D7064" w:rsidRDefault="309D7064" w14:paraId="6C58CB1C" w14:textId="5A1075AD"/>
    <w:p xmlns:wp14="http://schemas.microsoft.com/office/word/2010/wordml" w:rsidR="00DE2DFE" w:rsidRDefault="0020082F" w14:paraId="4551B282" wp14:textId="77777777">
      <w:pPr>
        <w:sectPr w:rsidR="00DE2DFE">
          <w:headerReference w:type="default" r:id="rId10"/>
          <w:footerReference w:type="default" r:id="rId11"/>
          <w:headerReference w:type="first" r:id="rId12"/>
          <w:footerReference w:type="first" r:id="rId13"/>
          <w:pgSz w:w="11906" w:h="16838" w:orient="portrait"/>
          <w:pgMar w:top="1701" w:right="1134" w:bottom="1134" w:left="1701" w:header="0" w:footer="709" w:gutter="0"/>
          <w:pgNumType w:start="1"/>
          <w:cols w:space="720"/>
          <w:titlePg/>
        </w:sectPr>
      </w:pPr>
      <w:r>
        <w:t>Nota: caso seja necessário ocultar algum nome de instituição, sugerimos que seja colocado somente a área da instituição. Exemplo: Empresa do Agronegócio.</w:t>
      </w:r>
    </w:p>
    <w:p xmlns:wp14="http://schemas.microsoft.com/office/word/2010/wordml" w:rsidR="00DE2DFE" w:rsidRDefault="00DE2DFE" w14:paraId="6A05A809" wp14:textId="77777777"/>
    <w:p xmlns:wp14="http://schemas.microsoft.com/office/word/2010/wordml" w:rsidR="00DE2DFE" w:rsidRDefault="0020082F" w14:paraId="7218493F" wp14:textId="77777777">
      <w:pPr>
        <w:rPr>
          <w:b/>
        </w:rPr>
      </w:pPr>
      <w:r w:rsidRPr="309D7064" w:rsidR="0020082F">
        <w:rPr>
          <w:b w:val="1"/>
          <w:bCs w:val="1"/>
        </w:rPr>
        <w:t xml:space="preserve">1. SITUAÇÃO PROBLEMA DE OPEN INNOVATION </w:t>
      </w:r>
    </w:p>
    <w:p w:rsidR="5A9AC0A1" w:rsidP="309D7064" w:rsidRDefault="5A9AC0A1" w14:paraId="3AA61C34" w14:textId="62D729D5">
      <w:pPr>
        <w:spacing w:before="120" w:after="120"/>
        <w:ind w:firstLine="709"/>
      </w:pPr>
      <w:r w:rsidR="5A9AC0A1">
        <w:rPr/>
        <w:t>Na BeFly, identificamos um ponto crítico relacionado à cobrança de comissões sobre reservas de hotel. Esse fluxo, até então realizado de forma manual, envolvia trocas de e-mails, preenchimento de planilhas e conferências feitas caso a caso com os hotéis parceiros. A falta de padronização e automação resultava em ineficiência, alto risco de erro humano, atrasos no faturamento e perdas financeiras — muitas vezes sem validação em tempo hábil para efetuar a cobrança.</w:t>
      </w:r>
    </w:p>
    <w:p w:rsidR="5A9AC0A1" w:rsidP="309D7064" w:rsidRDefault="5A9AC0A1" w14:paraId="631E5387" w14:textId="510B23B7">
      <w:pPr>
        <w:pStyle w:val="Normal"/>
        <w:spacing w:before="120" w:after="120"/>
        <w:ind w:firstLine="709"/>
      </w:pPr>
      <w:r w:rsidR="5A9AC0A1">
        <w:rPr/>
        <w:t>A operação era terceirizada por meio de uma agência de cobrança contratada, que não conseguia lidar com a complexidade e o volume das informações. Isso tornava o processo pouco escalável e com baixa rastreabilidade, comprometendo a governança e a confiabilidade das informações. Ao mesmo tempo, os hotéis parceiros não tinham autonomia ou visibilidade sobre o processo, o que gerava ruído na comunicação, retrabalho e, por vezes, desgaste na relação comercial.</w:t>
      </w:r>
    </w:p>
    <w:p w:rsidR="5A9AC0A1" w:rsidP="309D7064" w:rsidRDefault="5A9AC0A1" w14:paraId="06DFAC31" w14:textId="08EFA9F6">
      <w:pPr>
        <w:pStyle w:val="Normal"/>
        <w:spacing w:before="120" w:after="120"/>
        <w:ind w:firstLine="709"/>
      </w:pPr>
      <w:r w:rsidR="5A9AC0A1">
        <w:rPr/>
        <w:t>O problema deixava claro que uma solução interna não seria suficiente. A área de Inovação, junto com os times de Financeiro e Cobrança, compreendeu que seria necessário buscar uma solução mais robusta, moderna e escalável — que permitisse transformar esse fluxo crítico em um processo automatizado, com ganho de eficiência, rastreabilidade e melhora na experiência do parceiro.</w:t>
      </w:r>
    </w:p>
    <w:p w:rsidR="5A9AC0A1" w:rsidP="309D7064" w:rsidRDefault="5A9AC0A1" w14:paraId="53D91541" w14:textId="1975DE68">
      <w:pPr>
        <w:pStyle w:val="Normal"/>
        <w:spacing w:before="120" w:after="120"/>
        <w:ind w:firstLine="709"/>
      </w:pPr>
      <w:r w:rsidR="5A9AC0A1">
        <w:rPr/>
        <w:t>A partir dessa dor, optamos por adotar uma abordagem de inovação aberta para buscar, no ecossistema de startups, soluções capazes de atender essa demanda. Sabíamos que não havia uma ferramenta pronta voltada ao nosso modelo de negócio, mas acreditávamos que fintechs com expertise em automação e validação de dados poderiam oferecer uma base sólida que, com adaptações, pudesse ser aplicada ao nosso caso.</w:t>
      </w:r>
    </w:p>
    <w:p w:rsidR="5A9AC0A1" w:rsidP="309D7064" w:rsidRDefault="5A9AC0A1" w14:paraId="7480263E" w14:textId="20A3B284">
      <w:pPr>
        <w:pStyle w:val="Normal"/>
        <w:spacing w:before="120" w:after="120"/>
        <w:ind w:firstLine="709"/>
      </w:pPr>
      <w:r w:rsidR="5A9AC0A1">
        <w:rPr/>
        <w:t>Foi então que, em parceria com o Turistech Hub, estruturamos o “Desafio de Soluções Financeiras”, com o objetivo de mapear e testar soluções tecnológicas que nos ajudassem a resolver dores relacionadas à conferência de reservas, validação, cobrança e automação de processos financeiros. Essa iniciativa marcou a decisão estratégica de olhar para fora, conectando a BeFly a um ecossistema de inovação que pudesse gerar impacto prático e mensurável em uma das frentes mais críticas da operação.</w:t>
      </w:r>
    </w:p>
    <w:p w:rsidR="5A9AC0A1" w:rsidP="309D7064" w:rsidRDefault="5A9AC0A1" w14:paraId="32E2FC6D" w14:textId="76270EAD">
      <w:pPr>
        <w:pStyle w:val="Normal"/>
        <w:spacing w:before="120" w:after="120"/>
        <w:ind w:firstLine="709"/>
      </w:pPr>
      <w:r w:rsidR="5A9AC0A1">
        <w:rPr/>
        <w:t>Essa foi a origem do nosso case de open innovation: uma dor real, com impacto financeiro direto, que não poderia mais ser resolvida apenas com esforços internos — exigindo colaboração com o mercado, abertura para o novo e disposição para cocriar soluções com agentes externos.</w:t>
      </w:r>
    </w:p>
    <w:p w:rsidR="309D7064" w:rsidP="309D7064" w:rsidRDefault="309D7064" w14:paraId="42480667" w14:textId="401BF5A0">
      <w:pPr>
        <w:spacing w:before="120" w:after="120"/>
        <w:ind w:firstLine="0"/>
      </w:pPr>
    </w:p>
    <w:p w:rsidR="309D7064" w:rsidP="309D7064" w:rsidRDefault="309D7064" w14:paraId="4DA16F26" w14:textId="60DF44C1">
      <w:pPr>
        <w:spacing w:before="120" w:after="120"/>
        <w:ind w:firstLine="0"/>
      </w:pPr>
    </w:p>
    <w:p w:rsidR="309D7064" w:rsidP="309D7064" w:rsidRDefault="309D7064" w14:paraId="69A96ACA" w14:textId="47C569FE">
      <w:pPr>
        <w:spacing w:before="120" w:after="120"/>
        <w:ind w:firstLine="0"/>
      </w:pPr>
    </w:p>
    <w:p w:rsidR="309D7064" w:rsidP="309D7064" w:rsidRDefault="309D7064" w14:paraId="6563F997" w14:textId="29E2953B">
      <w:pPr>
        <w:spacing w:before="120" w:after="120"/>
        <w:ind w:firstLine="0"/>
      </w:pPr>
    </w:p>
    <w:p xmlns:wp14="http://schemas.microsoft.com/office/word/2010/wordml" w:rsidR="00DE2DFE" w:rsidRDefault="00DE2DFE" w14:paraId="5A39BBE3" wp14:textId="77777777">
      <w:pPr>
        <w:spacing w:before="120" w:after="120"/>
      </w:pPr>
    </w:p>
    <w:p xmlns:wp14="http://schemas.microsoft.com/office/word/2010/wordml" w:rsidR="00DE2DFE" w:rsidRDefault="0020082F" w14:paraId="3A5B65F3" wp14:textId="77777777">
      <w:pPr>
        <w:spacing w:before="120" w:after="120"/>
        <w:rPr>
          <w:b/>
        </w:rPr>
      </w:pPr>
      <w:r w:rsidRPr="309D7064" w:rsidR="0020082F">
        <w:rPr>
          <w:b w:val="1"/>
          <w:bCs w:val="1"/>
        </w:rPr>
        <w:t>2. INTERVENÇÃO</w:t>
      </w:r>
    </w:p>
    <w:p w:rsidR="0F905109" w:rsidP="309D7064" w:rsidRDefault="0F905109" w14:paraId="23B47109" w14:textId="28EA088E">
      <w:pPr>
        <w:spacing w:before="120" w:after="120"/>
        <w:ind w:firstLine="709"/>
      </w:pPr>
      <w:r w:rsidR="0F905109">
        <w:rPr/>
        <w:t>A partir do “Desafio de Soluções Financeiras”, lançado em parceria com o Turistech Hub, buscamos startups com potencial para resolver diversas dores presentes nos nossos processos internos — uma das principais era a cobrança de comissões sobre reservas de hotel. O foco era encontrar uma solução que ajudasse a automatizar etapas críticas desse fluxo, trazendo mais controle, eficiência e segurança. Durante esse processo, conhecemos a Receiv — uma fintech que se destacou por sua capacidade de estruturar fluxos inteligentes de validação e conferência de dados financeiros.</w:t>
      </w:r>
    </w:p>
    <w:p w:rsidR="0F905109" w:rsidP="309D7064" w:rsidRDefault="0F905109" w14:paraId="40C6DCA6" w14:textId="13FDC18F">
      <w:pPr>
        <w:pStyle w:val="Normal"/>
        <w:spacing w:before="120" w:after="120"/>
        <w:ind w:firstLine="709"/>
      </w:pPr>
      <w:r w:rsidR="0F905109">
        <w:rPr/>
        <w:t>Apesar de não ser originalmente voltada ao setor de turismo, a solução da Receiv apresentava uma arquitetura flexível que permitia adaptações ao nosso caso de uso. Isso foi determinante para seguirmos com a contratação e iniciar uma fase de implementação conjunta. Com base nas funcionalidades existentes e nas necessidades da BeFly, desenhamos um modelo de aplicação da ferramenta para transformar o fluxo de cobrança: da entrada da reserva até a confirmação de utilização pelo hotel, passando pela validação e emissão da comissão.</w:t>
      </w:r>
    </w:p>
    <w:p w:rsidR="0F905109" w:rsidP="309D7064" w:rsidRDefault="0F905109" w14:paraId="6CA2955B" w14:textId="3EC9C09C">
      <w:pPr>
        <w:pStyle w:val="Normal"/>
        <w:spacing w:before="120" w:after="120"/>
        <w:ind w:firstLine="709"/>
      </w:pPr>
      <w:r w:rsidR="0F905109">
        <w:rPr/>
        <w:t>Uma das principais decisões estratégicas foi internalizar essa operação, deixando de depender da agência de cobrança terceirizada. Para isso, formamos um novo time dedicado exclusivamente à gestão desse processo, operando a partir da tecnologia da Receiv. Essa escolha não apenas aumentou o controle e a rastreabilidade das informações, como também permitiu que a própria BeFly assumisse o protagonismo na construção de novos fluxos e indicadores, de forma contínua e integrada ao restante da operação.</w:t>
      </w:r>
    </w:p>
    <w:p w:rsidR="0F905109" w:rsidP="309D7064" w:rsidRDefault="0F905109" w14:paraId="5617B09A" w14:textId="62FFA172">
      <w:pPr>
        <w:spacing w:before="120" w:after="120"/>
        <w:ind w:firstLine="709"/>
      </w:pPr>
      <w:r w:rsidR="0F905109">
        <w:rPr/>
        <w:t>Ao longo da intervenção, realizamos ajustes colaborativos na plataforma da Receiv. Foram incorporadas funcionalidades específicas para refletir nossa realidade, como notificações automatizadas para os hotéis, histórico de interações e dashboards com visões customizadas para diferentes áreas da empresa. Todo o desenvolvimento foi conduzido de forma ágil, em ciclos curtos, permitindo testar, corrigir e escalar com segurança.</w:t>
      </w:r>
    </w:p>
    <w:p w:rsidR="0F905109" w:rsidP="309D7064" w:rsidRDefault="0F905109" w14:paraId="336D2EFE" w14:textId="13701D2F">
      <w:pPr>
        <w:pStyle w:val="Normal"/>
        <w:spacing w:before="120" w:after="120"/>
        <w:ind w:firstLine="709"/>
        <w:rPr>
          <w:b w:val="1"/>
          <w:bCs w:val="1"/>
        </w:rPr>
      </w:pPr>
      <w:r w:rsidR="0F905109">
        <w:rPr/>
        <w:t>A partir do sucesso da PoC e da consolidação da Receiv como parte da operação da BeFly, demos início a um novo projeto conjunto: a Central de Reservas. Essa nova camada da plataforma foi construída para ampliar a autonomia dos hotéis parceiros, permitindo que validem diretamente as reservas que geram comissão. O projeto surgiu como uma evolução natural da solução e visa ampliar os ganhos obtidos, promovendo mais transparência no relacionamento com os parceiros e reduzindo ainda mais a dependência de interações manuais. Com ele, a BeFly avança em direção a uma operação mais digital, integrada e orientada por dados — reforçando o potencial transformador da inovação aberta aplicada com propósito.</w:t>
      </w:r>
    </w:p>
    <w:p w:rsidR="309D7064" w:rsidP="309D7064" w:rsidRDefault="309D7064" w14:paraId="76C6DE4B" w14:textId="5D3575D2">
      <w:pPr>
        <w:spacing w:before="120" w:after="120"/>
        <w:ind w:firstLine="709"/>
      </w:pPr>
    </w:p>
    <w:p w:rsidR="309D7064" w:rsidP="309D7064" w:rsidRDefault="309D7064" w14:paraId="090F8D03" w14:textId="08D1BB71">
      <w:pPr>
        <w:spacing w:before="120" w:after="120"/>
        <w:ind w:firstLine="709"/>
      </w:pPr>
    </w:p>
    <w:p w:rsidR="309D7064" w:rsidP="309D7064" w:rsidRDefault="309D7064" w14:paraId="05D2E8A5" w14:textId="0FEB08A3">
      <w:pPr>
        <w:spacing w:before="120" w:after="120"/>
        <w:ind w:firstLine="709"/>
      </w:pPr>
    </w:p>
    <w:p xmlns:wp14="http://schemas.microsoft.com/office/word/2010/wordml" w:rsidR="00DE2DFE" w:rsidRDefault="00DE2DFE" w14:paraId="41C8F396" wp14:textId="77777777">
      <w:pPr>
        <w:spacing w:before="120" w:after="120"/>
      </w:pPr>
    </w:p>
    <w:p xmlns:wp14="http://schemas.microsoft.com/office/word/2010/wordml" w:rsidR="00DE2DFE" w:rsidRDefault="0020082F" w14:paraId="0980A77B" wp14:textId="77777777">
      <w:pPr>
        <w:spacing w:before="120" w:after="120"/>
        <w:rPr>
          <w:b/>
        </w:rPr>
      </w:pPr>
      <w:r w:rsidRPr="309D7064" w:rsidR="0020082F">
        <w:rPr>
          <w:b w:val="1"/>
          <w:bCs w:val="1"/>
        </w:rPr>
        <w:t xml:space="preserve">3. RESULTADOS </w:t>
      </w:r>
    </w:p>
    <w:p xmlns:wp14="http://schemas.microsoft.com/office/word/2010/wordml" w:rsidR="00DE2DFE" w:rsidRDefault="0020082F" w14:paraId="2720B8C9" wp14:textId="55F2C99C">
      <w:pPr>
        <w:spacing w:before="120" w:after="120"/>
        <w:rPr>
          <w:b w:val="0"/>
          <w:bCs w:val="0"/>
        </w:rPr>
      </w:pPr>
      <w:r w:rsidR="1E29E4B0">
        <w:rPr>
          <w:b w:val="0"/>
          <w:bCs w:val="0"/>
        </w:rPr>
        <w:t xml:space="preserve">A adoção da solução desenvolvida em parceria com a </w:t>
      </w:r>
      <w:r w:rsidR="1E29E4B0">
        <w:rPr>
          <w:b w:val="0"/>
          <w:bCs w:val="0"/>
        </w:rPr>
        <w:t>Receiv</w:t>
      </w:r>
      <w:r w:rsidR="1E29E4B0">
        <w:rPr>
          <w:b w:val="0"/>
          <w:bCs w:val="0"/>
        </w:rPr>
        <w:t xml:space="preserve"> gerou resultados significativos tanto para a </w:t>
      </w:r>
      <w:r w:rsidR="1E29E4B0">
        <w:rPr>
          <w:b w:val="0"/>
          <w:bCs w:val="0"/>
        </w:rPr>
        <w:t>BeFly</w:t>
      </w:r>
      <w:r w:rsidR="1E29E4B0">
        <w:rPr>
          <w:b w:val="0"/>
          <w:bCs w:val="0"/>
        </w:rPr>
        <w:t xml:space="preserve"> quanto para os parceiros envolvidos no processo. O impacto foi percebido desde as primeiras semanas da Prova de Conceito (</w:t>
      </w:r>
      <w:r w:rsidR="1E29E4B0">
        <w:rPr>
          <w:b w:val="0"/>
          <w:bCs w:val="0"/>
        </w:rPr>
        <w:t>PoC</w:t>
      </w:r>
      <w:r w:rsidR="1E29E4B0">
        <w:rPr>
          <w:b w:val="0"/>
          <w:bCs w:val="0"/>
        </w:rPr>
        <w:t>), com aumento na eficiência operacional e recuperação de valores que antes estavam represados por falhas no processo de cobrança.</w:t>
      </w:r>
    </w:p>
    <w:p xmlns:wp14="http://schemas.microsoft.com/office/word/2010/wordml" w:rsidR="00DE2DFE" w:rsidP="309D7064" w:rsidRDefault="0020082F" w14:paraId="3BE8FC08" wp14:textId="6D01D24D">
      <w:pPr>
        <w:pStyle w:val="Normal"/>
        <w:spacing w:before="120" w:after="120"/>
        <w:rPr>
          <w:b w:val="0"/>
          <w:bCs w:val="0"/>
        </w:rPr>
      </w:pPr>
      <w:r w:rsidR="1E29E4B0">
        <w:rPr>
          <w:b w:val="0"/>
          <w:bCs w:val="0"/>
        </w:rPr>
        <w:t xml:space="preserve">Antes da intervenção, a </w:t>
      </w:r>
      <w:r w:rsidR="1E29E4B0">
        <w:rPr>
          <w:b w:val="0"/>
          <w:bCs w:val="0"/>
        </w:rPr>
        <w:t>BeFly</w:t>
      </w:r>
      <w:r w:rsidR="1E29E4B0">
        <w:rPr>
          <w:b w:val="0"/>
          <w:bCs w:val="0"/>
        </w:rPr>
        <w:t xml:space="preserve"> acumulava um backlog de aproximadamente R$ 5 milhões em comissões não cobradas, devido à incapacidade da empresa contratada de dar conta da complexidade e do volume da cobrança mensal. Esse valor estava parado, sem perspectiva de resolução efetiva. Com a implementação da solução, conseguimos não apenas recuperar a maior parte desse backlog, mas também estruturar uma nova frente de operação que nos permitiu recuperar um total de R$ 7 milhões em comissões, somando o saldo antigo aos novos fluxos validados com base no sistema.</w:t>
      </w:r>
    </w:p>
    <w:p xmlns:wp14="http://schemas.microsoft.com/office/word/2010/wordml" w:rsidR="00DE2DFE" w:rsidP="309D7064" w:rsidRDefault="0020082F" w14:paraId="0C229431" wp14:textId="1E3FD9AE">
      <w:pPr>
        <w:pStyle w:val="Normal"/>
        <w:spacing w:before="120" w:after="120"/>
        <w:rPr>
          <w:b w:val="0"/>
          <w:bCs w:val="0"/>
        </w:rPr>
      </w:pPr>
      <w:r w:rsidR="1E29E4B0">
        <w:rPr>
          <w:b w:val="0"/>
          <w:bCs w:val="0"/>
        </w:rPr>
        <w:t xml:space="preserve">Internamente, a criação de um time dedicado e a migração da operação de cobrança para um modelo automatizado resultaram em ganho de controle, agilidade e confiabilidade. A </w:t>
      </w:r>
      <w:r w:rsidR="1E29E4B0">
        <w:rPr>
          <w:b w:val="0"/>
          <w:bCs w:val="0"/>
        </w:rPr>
        <w:t>BeFly</w:t>
      </w:r>
      <w:r w:rsidR="1E29E4B0">
        <w:rPr>
          <w:b w:val="0"/>
          <w:bCs w:val="0"/>
        </w:rPr>
        <w:t xml:space="preserve"> deixou de depender de processos manuais e de uma agência externa, assumindo o protagonismo da operação e permitindo análises em tempo real sobre o status das reservas, pendências e valores validados. Isso possibilitou decisões mais rápidas e fundamentadas, além de melhorar a governança sobre esse fluxo financeiro crítico.</w:t>
      </w:r>
    </w:p>
    <w:p xmlns:wp14="http://schemas.microsoft.com/office/word/2010/wordml" w:rsidR="00DE2DFE" w:rsidP="309D7064" w:rsidRDefault="0020082F" w14:paraId="59DE1BF7" wp14:textId="66F22206">
      <w:pPr>
        <w:pStyle w:val="Normal"/>
        <w:spacing w:before="120" w:after="120"/>
        <w:rPr>
          <w:b w:val="0"/>
          <w:bCs w:val="0"/>
        </w:rPr>
      </w:pPr>
      <w:r w:rsidR="1E29E4B0">
        <w:rPr>
          <w:b w:val="0"/>
          <w:bCs w:val="0"/>
        </w:rPr>
        <w:t>A automação também trouxe ganhos operacionais claros. Houve redução expressiva no tempo dedicado à validação de reservas, diminuição de erros e retrabalhos, além de maior assertividade no relacionamento com os parceiros. A taxa de conversão de comissões validadas aumentou e o tempo médio de resolução de pendências com os hotéis foi significativamente reduzido.</w:t>
      </w:r>
    </w:p>
    <w:p xmlns:wp14="http://schemas.microsoft.com/office/word/2010/wordml" w:rsidR="00DE2DFE" w:rsidP="309D7064" w:rsidRDefault="0020082F" w14:paraId="3123DA2C" wp14:textId="36D370F2">
      <w:pPr>
        <w:pStyle w:val="Normal"/>
        <w:spacing w:before="120" w:after="120"/>
        <w:rPr>
          <w:b w:val="0"/>
          <w:bCs w:val="0"/>
        </w:rPr>
      </w:pPr>
      <w:r w:rsidR="1E29E4B0">
        <w:rPr>
          <w:b w:val="0"/>
          <w:bCs w:val="0"/>
        </w:rPr>
        <w:t>Além disso, o projeto serviu como catalisador para uma mudança de mentalidade dentro da BeFly. Ao demonstrar que a inovação aberta pode gerar soluções concretas para problemas históricos da operação, ele abriu portas para novas frentes de colaboração com startups e impulsionou uma cultura mais voltada à experimentação, à tecnologia e à busca de resultados mensuráveis.</w:t>
      </w:r>
    </w:p>
    <w:p xmlns:wp14="http://schemas.microsoft.com/office/word/2010/wordml" w:rsidR="00DE2DFE" w:rsidP="309D7064" w:rsidRDefault="0020082F" w14:paraId="14B2C5BB" wp14:textId="3A17E531">
      <w:pPr>
        <w:pStyle w:val="Normal"/>
        <w:spacing w:before="120" w:after="120"/>
      </w:pPr>
      <w:r w:rsidR="1E29E4B0">
        <w:rPr>
          <w:b w:val="0"/>
          <w:bCs w:val="0"/>
        </w:rPr>
        <w:t>Um dos desdobramentos mais relevantes foi o nascimento da Central de Reservas — uma iniciativa que surgiu a partir do sucesso da PoC e que amplia o escopo do projeto inicial, oferecendo aos hotéis parceiros um ambiente de autosserviço para validação de reservas e consulta de status, além de abrir caminho para melhorias em outras rotinas financeiras, como faturamento e gestão de cartões de crédito.</w:t>
      </w:r>
    </w:p>
    <w:p xmlns:wp14="http://schemas.microsoft.com/office/word/2010/wordml" w:rsidR="00DE2DFE" w:rsidP="309D7064" w:rsidRDefault="0020082F" w14:paraId="10DA55C9" wp14:textId="4510675F">
      <w:pPr>
        <w:pStyle w:val="Normal"/>
        <w:spacing w:before="120" w:after="120"/>
        <w:rPr>
          <w:b w:val="0"/>
          <w:bCs w:val="0"/>
        </w:rPr>
      </w:pPr>
    </w:p>
    <w:p xmlns:wp14="http://schemas.microsoft.com/office/word/2010/wordml" w:rsidR="00DE2DFE" w:rsidP="309D7064" w:rsidRDefault="0020082F" w14:paraId="2434AD50" wp14:textId="7DC2A877">
      <w:pPr>
        <w:pStyle w:val="Normal"/>
        <w:spacing w:before="120" w:after="120"/>
        <w:rPr>
          <w:b w:val="0"/>
          <w:bCs w:val="0"/>
        </w:rPr>
      </w:pPr>
    </w:p>
    <w:p xmlns:wp14="http://schemas.microsoft.com/office/word/2010/wordml" w:rsidR="00DE2DFE" w:rsidP="309D7064" w:rsidRDefault="0020082F" w14:paraId="2E0B5AA0" wp14:textId="134C1955">
      <w:pPr>
        <w:pStyle w:val="Normal"/>
        <w:spacing w:before="120" w:after="120"/>
        <w:rPr>
          <w:b w:val="0"/>
          <w:bCs w:val="0"/>
        </w:rPr>
      </w:pPr>
    </w:p>
    <w:p xmlns:wp14="http://schemas.microsoft.com/office/word/2010/wordml" w:rsidR="00DE2DFE" w:rsidP="309D7064" w:rsidRDefault="0020082F" w14:paraId="55CA1183" wp14:textId="181F99D3">
      <w:pPr>
        <w:spacing w:before="120" w:after="120"/>
        <w:rPr>
          <w:b w:val="1"/>
          <w:bCs w:val="1"/>
        </w:rPr>
      </w:pPr>
    </w:p>
    <w:p xmlns:wp14="http://schemas.microsoft.com/office/word/2010/wordml" w:rsidR="00DE2DFE" w:rsidP="309D7064" w:rsidRDefault="0020082F" w14:paraId="0306E557" wp14:textId="37B231C8">
      <w:pPr>
        <w:pStyle w:val="Normal"/>
        <w:spacing w:before="120" w:after="120"/>
        <w:ind w:firstLine="0"/>
        <w:rPr>
          <w:b w:val="1"/>
          <w:bCs w:val="1"/>
        </w:rPr>
      </w:pPr>
      <w:r w:rsidRPr="309D7064" w:rsidR="0020082F">
        <w:rPr>
          <w:b w:val="1"/>
          <w:bCs w:val="1"/>
        </w:rPr>
        <w:t>4. CONTRIBUIÇÕES</w:t>
      </w:r>
    </w:p>
    <w:p xmlns:wp14="http://schemas.microsoft.com/office/word/2010/wordml" w:rsidR="00DE2DFE" w:rsidP="309D7064" w:rsidRDefault="00DE2DFE" w14:paraId="3BA45AD1" wp14:textId="0F5F0C98">
      <w:pPr>
        <w:spacing w:before="120" w:after="120"/>
        <w:ind w:firstLine="709"/>
      </w:pPr>
      <w:r w:rsidR="11D3E42F">
        <w:rPr/>
        <w:t>O projeto desenvolvido em parceria com a Receiv gerou uma série de contribuições relevantes para a BeFly e seu ecossistema, com impactos que vão além da recuperação financeira imediata. A iniciativa demonstrou como a inovação aberta pode ser uma ferramenta estratégica para enfrentar desafios operacionais históricos, criando soluções com efeitos duradouros e escaláveis.</w:t>
      </w:r>
    </w:p>
    <w:p xmlns:wp14="http://schemas.microsoft.com/office/word/2010/wordml" w:rsidR="00DE2DFE" w:rsidP="309D7064" w:rsidRDefault="00DE2DFE" w14:paraId="3F4D4003" wp14:textId="5517F005">
      <w:pPr>
        <w:pStyle w:val="Normal"/>
        <w:spacing w:before="120" w:after="120"/>
        <w:ind w:firstLine="709"/>
      </w:pPr>
      <w:r w:rsidR="11D3E42F">
        <w:rPr/>
        <w:t>Do ponto de vista econômico, o benefício mais evidente foi a recuperação de aproximadamente R$ 7 milhões em comissões, incluindo um backlog de R$ 5 milhões que estava represado por falhas no modelo anterior e mais R$ 2 milhões em cobranças validadas com base nos novos fluxos automatizados. A substituição da agência de cobrança por um time interno também gerou economia de custos operacionais recorrentes e permitiu melhor alocação de recursos. Além disso, a automação trouxe ganhos de produtividade, liberando tempo de profissionais que antes se dedicavam a tarefas repetitivas e manuais.</w:t>
      </w:r>
    </w:p>
    <w:p xmlns:wp14="http://schemas.microsoft.com/office/word/2010/wordml" w:rsidR="00DE2DFE" w:rsidP="309D7064" w:rsidRDefault="00DE2DFE" w14:paraId="7724F731" wp14:textId="58C6B78A">
      <w:pPr>
        <w:pStyle w:val="Normal"/>
        <w:spacing w:before="120" w:after="120"/>
        <w:ind w:firstLine="709"/>
      </w:pPr>
      <w:r w:rsidR="11D3E42F">
        <w:rPr/>
        <w:t>Em termos tecnológicos, a principal contribuição foi a adaptação e evolução de uma solução externa às necessidades específicas da BeFly, com funcionalidades criadas em conjunto com a startup. Isso incluiu a construção de painéis customizados, alertas automatizados, trilhas de auditoria e, posteriormente, a criação da Central de Reservas — uma ferramenta que amplia o controle e a transparência no relacionamento com os hotéis. Esse desenvolvimento demonstrou o potencial de soluções modulares e colaborativas, com capacidade de escalar para outras áreas do grupo.</w:t>
      </w:r>
    </w:p>
    <w:p xmlns:wp14="http://schemas.microsoft.com/office/word/2010/wordml" w:rsidR="00DE2DFE" w:rsidP="309D7064" w:rsidRDefault="00DE2DFE" w14:paraId="1833A404" wp14:textId="5BA48649">
      <w:pPr>
        <w:pStyle w:val="Normal"/>
        <w:spacing w:before="120" w:after="120"/>
        <w:ind w:firstLine="709"/>
      </w:pPr>
      <w:r w:rsidR="11D3E42F">
        <w:rPr/>
        <w:t>No aspecto prático-gerencial, a principal transformação foi a profissionalização do processo de cobrança de comissões. A empresa passou a ter uma operação mais controlada, transparente e orientada por dados. Isso resultou em uma tomada de decisão mais assertiva, na redução de falhas e em uma melhora significativa na governança financeira. Além disso, o modelo passou a ser estudado como referência para outros fluxos internos da BeFly, como conciliação de recebíveis, contratos e validação de saldos com fornecedores.</w:t>
      </w:r>
    </w:p>
    <w:p xmlns:wp14="http://schemas.microsoft.com/office/word/2010/wordml" w:rsidR="00DE2DFE" w:rsidP="309D7064" w:rsidRDefault="00DE2DFE" w14:paraId="18D0A7DA" wp14:textId="38E605EC">
      <w:pPr>
        <w:pStyle w:val="Normal"/>
        <w:spacing w:before="120" w:after="120"/>
        <w:ind w:firstLine="709"/>
      </w:pPr>
      <w:r w:rsidR="11D3E42F">
        <w:rPr/>
        <w:t>Socialmente, a formação de um time interno dedicado ao processo de cobrança representou um avanço importante. Deixamos de depender de terceiros e passamos a ter o controle direto sobre todas as tratativas com os hotéis. Isso possibilitou uma relação mais próxima, resolutiva e alinhada aos nossos padrões de qualidade. A centralização do processo dentro da empresa facilitou ajustes rápidos, aumentou a capacidade de resposta e trouxe mais segurança para os parceiros — fortalecendo a confiança mútua e o vínculo comercial.</w:t>
      </w:r>
    </w:p>
    <w:p xmlns:wp14="http://schemas.microsoft.com/office/word/2010/wordml" w:rsidR="00DE2DFE" w:rsidP="309D7064" w:rsidRDefault="00DE2DFE" w14:paraId="6B889CB5" wp14:textId="38F32552">
      <w:pPr>
        <w:pStyle w:val="Normal"/>
        <w:spacing w:before="120" w:after="120"/>
        <w:ind w:firstLine="709"/>
      </w:pPr>
      <w:r w:rsidR="11D3E42F">
        <w:rPr/>
        <w:t>Embora o projeto não tenha como foco direto a agenda ambiental, ele contribui de forma indireta ao reduzir o uso de papel e planilhas físicas, além de minimizar o retrabalho e a dependência de processos analógicos.</w:t>
      </w:r>
    </w:p>
    <w:p xmlns:wp14="http://schemas.microsoft.com/office/word/2010/wordml" w:rsidR="00DE2DFE" w:rsidP="309D7064" w:rsidRDefault="00DE2DFE" w14:paraId="0D0B940D" wp14:textId="772209DA">
      <w:pPr>
        <w:pStyle w:val="Normal"/>
        <w:spacing w:before="120" w:after="120"/>
        <w:ind w:firstLine="709"/>
      </w:pPr>
      <w:r w:rsidR="11D3E42F">
        <w:rPr/>
        <w:t xml:space="preserve">Por fim, o case consolidou uma cultura de inovação aberta dentro da </w:t>
      </w:r>
      <w:r w:rsidR="11D3E42F">
        <w:rPr/>
        <w:t>BeFly</w:t>
      </w:r>
      <w:r w:rsidR="11D3E42F">
        <w:rPr/>
        <w:t>. Ele validou o modelo de cocriação com startups como um caminho viável e estratégico para resolver problemas complexos, promovendo agilidade e resultado. A experiência fortaleceu a área de Inovação e encorajou outras lideranças a pensarem soluções fora do modelo tradicional, impulsionando a adoção de tecnologias emergentes de forma alinhada aos desafios reais da operação.</w:t>
      </w:r>
    </w:p>
    <w:p xmlns:wp14="http://schemas.microsoft.com/office/word/2010/wordml" w:rsidR="00DE2DFE" w:rsidRDefault="0020082F" w14:paraId="28F087C6" wp14:textId="77777777">
      <w:pPr>
        <w:spacing w:before="120" w:after="120"/>
        <w:jc w:val="center"/>
        <w:rPr>
          <w:b/>
        </w:rPr>
      </w:pPr>
      <w:r w:rsidRPr="309D7064" w:rsidR="0020082F">
        <w:rPr>
          <w:b w:val="1"/>
          <w:bCs w:val="1"/>
        </w:rPr>
        <w:t>AGRADECIMENTOS</w:t>
      </w:r>
    </w:p>
    <w:p w:rsidR="52F98D80" w:rsidP="309D7064" w:rsidRDefault="52F98D80" w14:paraId="55739A60" w14:textId="07788D21">
      <w:pPr>
        <w:spacing w:before="120" w:after="120"/>
        <w:ind w:firstLine="709"/>
      </w:pPr>
      <w:r w:rsidR="52F98D80">
        <w:rPr/>
        <w:t>A BeFly agradece ao Turistech Hub pelo apoio na construção do Desafio de Soluções Financeiras e à Receiv pela parceria e comprometimento no desenvolvimento conjunto da solução. Também reconhecemos o envolvimento das áreas internas da empresa, que foram essenciais para o sucesso do projeto.</w:t>
      </w:r>
    </w:p>
    <w:p xmlns:wp14="http://schemas.microsoft.com/office/word/2010/wordml" w:rsidR="00DE2DFE" w:rsidRDefault="00DE2DFE" w14:paraId="0E27B00A" wp14:textId="77777777">
      <w:pPr>
        <w:spacing w:before="120" w:after="120"/>
      </w:pPr>
    </w:p>
    <w:p xmlns:wp14="http://schemas.microsoft.com/office/word/2010/wordml" w:rsidR="00DE2DFE" w:rsidRDefault="0020082F" w14:paraId="6E7DDF53" wp14:textId="310D8673">
      <w:pPr>
        <w:spacing w:before="120" w:after="120"/>
      </w:pPr>
    </w:p>
    <w:sectPr w:rsidR="00DE2DFE">
      <w:headerReference w:type="first" r:id="rId16"/>
      <w:pgSz w:w="11906" w:h="16838" w:orient="portrait"/>
      <w:pgMar w:top="1701" w:right="1134" w:bottom="1134" w:left="1701" w:header="0" w:footer="709"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xmlns:wp14="http://schemas.microsoft.com/office/word/2010/wordml" w:rsidR="0020082F" w:rsidRDefault="0020082F" w14:paraId="62486C05" wp14:textId="77777777">
      <w:r>
        <w:separator/>
      </w:r>
    </w:p>
  </w:endnote>
  <w:endnote w:type="continuationSeparator" w:id="0">
    <w:p xmlns:wp14="http://schemas.microsoft.com/office/word/2010/wordml" w:rsidR="0020082F" w:rsidRDefault="0020082F" w14:paraId="4101652C" wp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xmlns:wp14="http://schemas.microsoft.com/office/word/2010/wordml" w:rsidR="00DE2DFE" w:rsidRDefault="0020082F" w14:paraId="37987995" wp14:textId="77777777">
    <w:pPr>
      <w:pBdr>
        <w:top w:val="nil"/>
        <w:left w:val="nil"/>
        <w:bottom w:val="nil"/>
        <w:right w:val="nil"/>
        <w:between w:val="nil"/>
      </w:pBdr>
      <w:tabs>
        <w:tab w:val="center" w:pos="4252"/>
        <w:tab w:val="right" w:pos="8504"/>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xmlns:wp14="http://schemas.microsoft.com/office/word/2010/wordml" w:rsidR="00DE2DFE" w:rsidRDefault="00DE2DFE" w14:paraId="049F31CB" wp14:textId="77777777">
    <w:pPr>
      <w:pBdr>
        <w:top w:val="nil"/>
        <w:left w:val="nil"/>
        <w:bottom w:val="nil"/>
        <w:right w:val="nil"/>
        <w:between w:val="nil"/>
      </w:pBdr>
      <w:tabs>
        <w:tab w:val="center" w:pos="4252"/>
        <w:tab w:val="right" w:pos="8504"/>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xmlns:wp14="http://schemas.microsoft.com/office/word/2010/wordml" w:rsidR="00DE2DFE" w:rsidRDefault="0020082F" w14:paraId="133EDD17" wp14:textId="77777777">
    <w:pPr>
      <w:pBdr>
        <w:top w:val="nil"/>
        <w:left w:val="nil"/>
        <w:bottom w:val="nil"/>
        <w:right w:val="nil"/>
        <w:between w:val="nil"/>
      </w:pBdr>
      <w:tabs>
        <w:tab w:val="center" w:pos="4252"/>
        <w:tab w:val="right" w:pos="8504"/>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xmlns:wp14="http://schemas.microsoft.com/office/word/2010/wordml" w:rsidR="00DE2DFE" w:rsidRDefault="00DE2DFE" w14:paraId="3DEEC669" wp14:textId="77777777">
    <w:pPr>
      <w:pBdr>
        <w:top w:val="nil"/>
        <w:left w:val="nil"/>
        <w:bottom w:val="nil"/>
        <w:right w:val="nil"/>
        <w:between w:val="nil"/>
      </w:pBdr>
      <w:tabs>
        <w:tab w:val="center" w:pos="4252"/>
        <w:tab w:val="right" w:pos="8504"/>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xmlns:wp14="http://schemas.microsoft.com/office/word/2010/wordml" w:rsidR="0020082F" w:rsidRDefault="0020082F" w14:paraId="44EAFD9C" wp14:textId="77777777">
      <w:r>
        <w:separator/>
      </w:r>
    </w:p>
  </w:footnote>
  <w:footnote w:type="continuationSeparator" w:id="0">
    <w:p xmlns:wp14="http://schemas.microsoft.com/office/word/2010/wordml" w:rsidR="0020082F" w:rsidRDefault="0020082F" w14:paraId="4B94D5A5" wp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xmlns:wp14="http://schemas.microsoft.com/office/word/2010/wordml" w:rsidR="00DE2DFE" w:rsidRDefault="00DE2DFE" w14:paraId="53128261" wp14:textId="77777777">
    <w:pPr>
      <w:pBdr>
        <w:top w:val="nil"/>
        <w:left w:val="nil"/>
        <w:bottom w:val="nil"/>
        <w:right w:val="nil"/>
        <w:between w:val="nil"/>
      </w:pBdr>
      <w:tabs>
        <w:tab w:val="center" w:pos="4252"/>
        <w:tab w:val="right" w:pos="8504"/>
      </w:tabs>
      <w:jc w:val="right"/>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xmlns:wp14="http://schemas.microsoft.com/office/word/2010/wordml" w:rsidR="00DE2DFE" w:rsidRDefault="0020082F" w14:paraId="3656B9AB" wp14:textId="77777777">
    <w:pPr>
      <w:pBdr>
        <w:top w:val="nil"/>
        <w:left w:val="nil"/>
        <w:bottom w:val="nil"/>
        <w:right w:val="nil"/>
        <w:between w:val="nil"/>
      </w:pBdr>
      <w:tabs>
        <w:tab w:val="center" w:pos="4252"/>
        <w:tab w:val="right" w:pos="8504"/>
      </w:tabs>
      <w:ind w:left="-1701"/>
      <w:rPr>
        <w:color w:val="000000"/>
      </w:rPr>
    </w:pPr>
    <w:r>
      <w:rPr>
        <w:noProof/>
      </w:rPr>
      <w:drawing>
        <wp:inline xmlns:wp14="http://schemas.microsoft.com/office/word/2010/wordprocessingDrawing" distT="114300" distB="114300" distL="114300" distR="114300" wp14:anchorId="32FF1D8F" wp14:editId="7777777">
          <wp:extent cx="7511398" cy="2147888"/>
          <wp:effectExtent l="0" t="0" r="0" b="0"/>
          <wp:docPr id="211789134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511398" cy="2147888"/>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xmlns:wp14="http://schemas.microsoft.com/office/word/2010/wordml" w:rsidR="00DE2DFE" w:rsidRDefault="00DE2DFE" w14:paraId="45FB0818" wp14:textId="77777777">
    <w:pPr>
      <w:pBdr>
        <w:top w:val="nil"/>
        <w:left w:val="nil"/>
        <w:bottom w:val="nil"/>
        <w:right w:val="nil"/>
        <w:between w:val="nil"/>
      </w:pBdr>
      <w:tabs>
        <w:tab w:val="center" w:pos="4252"/>
        <w:tab w:val="right" w:pos="8504"/>
      </w:tabs>
      <w:ind w:left="-1701"/>
      <w:rPr>
        <w:color w:val="000000"/>
      </w:rPr>
    </w:pPr>
  </w:p>
</w:hdr>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trackRevisions w:val="fals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2DFE"/>
    <w:rsid w:val="0020082F"/>
    <w:rsid w:val="004034FB"/>
    <w:rsid w:val="00DE2DFE"/>
    <w:rsid w:val="0330DF9D"/>
    <w:rsid w:val="095CAEB4"/>
    <w:rsid w:val="0AF4C8C2"/>
    <w:rsid w:val="0F905109"/>
    <w:rsid w:val="11D3E42F"/>
    <w:rsid w:val="1352C8E8"/>
    <w:rsid w:val="1B7CC584"/>
    <w:rsid w:val="1DF087B8"/>
    <w:rsid w:val="1E29E4B0"/>
    <w:rsid w:val="2B4448EB"/>
    <w:rsid w:val="2CDBA8EF"/>
    <w:rsid w:val="309D7064"/>
    <w:rsid w:val="379B8CA3"/>
    <w:rsid w:val="46A484F7"/>
    <w:rsid w:val="4831C534"/>
    <w:rsid w:val="4A30AE6D"/>
    <w:rsid w:val="4B6037A6"/>
    <w:rsid w:val="4CB152C7"/>
    <w:rsid w:val="4D82D3B3"/>
    <w:rsid w:val="513458F8"/>
    <w:rsid w:val="52F98D80"/>
    <w:rsid w:val="54DB9560"/>
    <w:rsid w:val="5904B60A"/>
    <w:rsid w:val="5A9AC0A1"/>
    <w:rsid w:val="6267DF23"/>
    <w:rsid w:val="680864DA"/>
    <w:rsid w:val="6ABE337C"/>
    <w:rsid w:val="7E910345"/>
    <w:rsid w:val="7E963F0C"/>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0ED9C300"/>
  <w15:docId w15:val="{490C518F-F52C-4DD4-95B5-BED2CCCE07B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sz w:val="24"/>
        <w:szCs w:val="24"/>
        <w:lang w:val="pt-BR"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styleId="Fontepargpadro" w:default="1">
    <w:name w:val="Default Paragraph Font"/>
    <w:uiPriority w:val="1"/>
    <w:semiHidden/>
    <w:unhideWhenUsed/>
  </w:style>
  <w:style w:type="table" w:styleId="Tabelanormal" w:default="1">
    <w:name w:val="Normal Table"/>
    <w:uiPriority w:val="99"/>
    <w:semiHidden/>
    <w:unhideWhenUsed/>
    <w:tblPr>
      <w:tblInd w:w="0" w:type="dxa"/>
      <w:tblCellMar>
        <w:top w:w="0" w:type="dxa"/>
        <w:left w:w="108" w:type="dxa"/>
        <w:bottom w:w="0" w:type="dxa"/>
        <w:right w:w="108" w:type="dxa"/>
      </w:tblCellMar>
    </w:tblPr>
  </w:style>
  <w:style w:type="numbering" w:styleId="Semlista" w:default="1">
    <w:name w:val="No List"/>
    <w:uiPriority w:val="99"/>
    <w:semiHidden/>
    <w:unhideWhenUsed/>
  </w:style>
  <w:style w:type="table" w:styleId="TableNormal" w:customStyle="1">
    <w:name w:val="Table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styleId="TableNormal0" w:customStyle="1">
    <w:name w:val="Table Normal"/>
    <w:tblPr>
      <w:tblCellMar>
        <w:top w:w="0" w:type="dxa"/>
        <w:left w:w="0" w:type="dxa"/>
        <w:bottom w:w="0" w:type="dxa"/>
        <w:right w:w="0" w:type="dxa"/>
      </w:tblCellMar>
    </w:tblPr>
  </w:style>
  <w:style w:type="paragraph" w:styleId="Cabealho">
    <w:name w:val="header"/>
    <w:basedOn w:val="Normal"/>
    <w:link w:val="CabealhoChar"/>
    <w:uiPriority w:val="99"/>
    <w:unhideWhenUsed/>
    <w:rsid w:val="001C7E78"/>
    <w:pPr>
      <w:tabs>
        <w:tab w:val="center" w:pos="4252"/>
        <w:tab w:val="right" w:pos="8504"/>
      </w:tabs>
    </w:pPr>
  </w:style>
  <w:style w:type="character" w:styleId="CabealhoChar" w:customStyle="1">
    <w:name w:val="Cabeçalho Char"/>
    <w:basedOn w:val="Fontepargpadro"/>
    <w:link w:val="Cabealho"/>
    <w:uiPriority w:val="99"/>
    <w:rsid w:val="001C7E78"/>
  </w:style>
  <w:style w:type="paragraph" w:styleId="Rodap">
    <w:name w:val="footer"/>
    <w:basedOn w:val="Normal"/>
    <w:link w:val="RodapChar"/>
    <w:uiPriority w:val="99"/>
    <w:unhideWhenUsed/>
    <w:rsid w:val="001C7E78"/>
    <w:pPr>
      <w:tabs>
        <w:tab w:val="center" w:pos="4252"/>
        <w:tab w:val="right" w:pos="8504"/>
      </w:tabs>
    </w:pPr>
  </w:style>
  <w:style w:type="character" w:styleId="RodapChar" w:customStyle="1">
    <w:name w:val="Rodapé Char"/>
    <w:basedOn w:val="Fontepargpadro"/>
    <w:link w:val="Rodap"/>
    <w:uiPriority w:val="99"/>
    <w:rsid w:val="001C7E78"/>
  </w:style>
  <w:style w:type="paragraph" w:styleId="PargrafodaLista">
    <w:name w:val="List Paragraph"/>
    <w:basedOn w:val="Normal"/>
    <w:uiPriority w:val="34"/>
    <w:qFormat/>
    <w:rsid w:val="001C7E78"/>
    <w:pPr>
      <w:ind w:left="720"/>
      <w:contextualSpacing/>
    </w:pPr>
  </w:style>
  <w:style w:type="table" w:styleId="Tabelacomgrade">
    <w:name w:val="Table Grid"/>
    <w:basedOn w:val="Tabelanormal"/>
    <w:uiPriority w:val="39"/>
    <w:rsid w:val="00084E0B"/>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extodenotaderodap">
    <w:name w:val="footnote text"/>
    <w:basedOn w:val="Normal"/>
    <w:link w:val="TextodenotaderodapChar"/>
    <w:uiPriority w:val="99"/>
    <w:semiHidden/>
    <w:unhideWhenUsed/>
    <w:rsid w:val="00C1750A"/>
    <w:rPr>
      <w:sz w:val="20"/>
      <w:szCs w:val="20"/>
    </w:rPr>
  </w:style>
  <w:style w:type="character" w:styleId="TextodenotaderodapChar" w:customStyle="1">
    <w:name w:val="Texto de nota de rodapé Char"/>
    <w:basedOn w:val="Fontepargpadro"/>
    <w:link w:val="Textodenotaderodap"/>
    <w:uiPriority w:val="99"/>
    <w:semiHidden/>
    <w:rsid w:val="00C1750A"/>
    <w:rPr>
      <w:sz w:val="20"/>
      <w:szCs w:val="20"/>
    </w:rPr>
  </w:style>
  <w:style w:type="character" w:styleId="Refdenotaderodap">
    <w:name w:val="footnote reference"/>
    <w:basedOn w:val="Fontepargpadro"/>
    <w:uiPriority w:val="99"/>
    <w:semiHidden/>
    <w:unhideWhenUsed/>
    <w:rsid w:val="00C1750A"/>
    <w:rPr>
      <w:vertAlign w:val="superscript"/>
    </w:rPr>
  </w:style>
  <w:style w:type="character" w:styleId="Hyperlink">
    <w:name w:val="Hyperlink"/>
    <w:basedOn w:val="Fontepargpadro"/>
    <w:uiPriority w:val="99"/>
    <w:unhideWhenUsed/>
    <w:rsid w:val="004263BE"/>
    <w:rPr>
      <w:color w:val="0563C1" w:themeColor="hyperlink"/>
      <w:u w:val="single"/>
    </w:rPr>
  </w:style>
  <w:style w:type="character" w:styleId="MenoPendente">
    <w:name w:val="Unresolved Mention"/>
    <w:basedOn w:val="Fontepargpadro"/>
    <w:uiPriority w:val="99"/>
    <w:semiHidden/>
    <w:unhideWhenUsed/>
    <w:rsid w:val="004263BE"/>
    <w:rPr>
      <w:color w:val="605E5C"/>
      <w:shd w:val="clear" w:color="auto" w:fill="E1DFDD"/>
    </w:rPr>
  </w:style>
  <w:style w:type="table" w:styleId="a" w:customStyle="1">
    <w:basedOn w:val="TableNormal0"/>
    <w:tblPr>
      <w:tblStyleRowBandSize w:val="1"/>
      <w:tblStyleColBandSize w:val="1"/>
      <w:tblCellMar>
        <w:top w:w="0" w:type="dxa"/>
        <w:left w:w="108" w:type="dxa"/>
        <w:bottom w:w="0" w:type="dxa"/>
        <w:right w:w="108" w:type="dxa"/>
      </w:tblCellMar>
    </w:tblPr>
  </w:style>
  <w:style w:type="paragraph" w:styleId="Subttulo">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table" w:styleId="a0" w:customStyle="1">
    <w:basedOn w:val="TableNormal0"/>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2.xm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eader" Target="header2.xm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header" Target="header3.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customXml" Target="../customXml/item4.xml" Id="rId4" /><Relationship Type="http://schemas.openxmlformats.org/officeDocument/2006/relationships/endnotes" Target="endnotes.xml" Id="rId9" /></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BF0E7D0ABC8997408E1AEE79AA39B6BB" ma:contentTypeVersion="16" ma:contentTypeDescription="Crie um novo documento." ma:contentTypeScope="" ma:versionID="31c5d78ab7958257eecbb332944e8f4b">
  <xsd:schema xmlns:xsd="http://www.w3.org/2001/XMLSchema" xmlns:xs="http://www.w3.org/2001/XMLSchema" xmlns:p="http://schemas.microsoft.com/office/2006/metadata/properties" xmlns:ns2="5dcd57bd-f95e-4b44-8fc1-eba2ec6ba84d" xmlns:ns3="9cfd38ad-6ac9-4b16-a3e4-c7b848e6c8af" targetNamespace="http://schemas.microsoft.com/office/2006/metadata/properties" ma:root="true" ma:fieldsID="301df6c5a33ed8b5df50990c41462b12" ns2:_="" ns3:_="">
    <xsd:import namespace="5dcd57bd-f95e-4b44-8fc1-eba2ec6ba84d"/>
    <xsd:import namespace="9cfd38ad-6ac9-4b16-a3e4-c7b848e6c8a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element ref="ns2:MediaLengthInSecond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cd57bd-f95e-4b44-8fc1-eba2ec6ba8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Marcações de imagem" ma:readOnly="false" ma:fieldId="{5cf76f15-5ced-4ddc-b409-7134ff3c332f}" ma:taxonomyMulti="true" ma:sspId="a8b0dac9-a0ac-46c8-a0b9-d58615caa540"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5" nillable="true" ma:displayName="Location" ma:indexed="true"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cfd38ad-6ac9-4b16-a3e4-c7b848e6c8af"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38da7a4d-29e6-47ef-b7fb-02293093c2ce}" ma:internalName="TaxCatchAll" ma:showField="CatchAllData" ma:web="9cfd38ad-6ac9-4b16-a3e4-c7b848e6c8af">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yB4BX+FILTg3/QXvNYD2tSRggQ==">CgMxLjA4AHIhMWVtSWNya1VmUFNZLWlmSXlZWEFPRlNXcTRfT2U5Rllu</go:docsCustomData>
</go:gDocsCustomXmlDataStorage>
</file>

<file path=customXml/item3.xml><?xml version="1.0" encoding="utf-8"?>
<p:properties xmlns:p="http://schemas.microsoft.com/office/2006/metadata/properties" xmlns:xsi="http://www.w3.org/2001/XMLSchema-instance" xmlns:pc="http://schemas.microsoft.com/office/infopath/2007/PartnerControls">
  <documentManagement>
    <TaxCatchAll xmlns="9cfd38ad-6ac9-4b16-a3e4-c7b848e6c8af" xsi:nil="true"/>
    <lcf76f155ced4ddcb4097134ff3c332f xmlns="5dcd57bd-f95e-4b44-8fc1-eba2ec6ba84d">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BA3885B-7360-4D9C-B3D3-45B513862D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cd57bd-f95e-4b44-8fc1-eba2ec6ba84d"/>
    <ds:schemaRef ds:uri="9cfd38ad-6ac9-4b16-a3e4-c7b848e6c8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3.xml><?xml version="1.0" encoding="utf-8"?>
<ds:datastoreItem xmlns:ds="http://schemas.openxmlformats.org/officeDocument/2006/customXml" ds:itemID="{18CBCE92-1B63-478F-BD3C-55D6D6E707D9}">
  <ds:schemaRefs>
    <ds:schemaRef ds:uri="http://schemas.microsoft.com/office/2006/metadata/properties"/>
    <ds:schemaRef ds:uri="http://schemas.microsoft.com/office/infopath/2007/PartnerControls"/>
    <ds:schemaRef ds:uri="9cfd38ad-6ac9-4b16-a3e4-c7b848e6c8af"/>
    <ds:schemaRef ds:uri="5dcd57bd-f95e-4b44-8fc1-eba2ec6ba84d"/>
  </ds:schemaRefs>
</ds:datastoreItem>
</file>

<file path=customXml/itemProps4.xml><?xml version="1.0" encoding="utf-8"?>
<ds:datastoreItem xmlns:ds="http://schemas.openxmlformats.org/officeDocument/2006/customXml" ds:itemID="{7EF94B1F-7EAF-438A-9369-CB00EE9EB5E5}">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Luiz Guilherme Rodrigues Antunes</dc:creator>
  <lastModifiedBy>Tiago Henrique Nascimento de Favari</lastModifiedBy>
  <revision>4</revision>
  <dcterms:created xsi:type="dcterms:W3CDTF">2025-07-07T14:44:00.0000000Z</dcterms:created>
  <dcterms:modified xsi:type="dcterms:W3CDTF">2025-07-07T19:19:15.6753854Z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06dbf39e-ba9e-426c-817a-2e71d8ab39da</vt:lpwstr>
  </property>
  <property fmtid="{D5CDD505-2E9C-101B-9397-08002B2CF9AE}" pid="3" name="ContentTypeId">
    <vt:lpwstr>0x010100BF0E7D0ABC8997408E1AEE79AA39B6BB</vt:lpwstr>
  </property>
  <property fmtid="{D5CDD505-2E9C-101B-9397-08002B2CF9AE}" pid="4" name="MediaServiceImageTags">
    <vt:lpwstr/>
  </property>
</Properties>
</file>