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41FCB" w14:textId="77777777" w:rsidR="00761355" w:rsidRDefault="00761355">
      <w:pPr>
        <w:spacing w:before="120" w:after="120"/>
        <w:jc w:val="center"/>
        <w:rPr>
          <w:b/>
        </w:rPr>
      </w:pPr>
    </w:p>
    <w:p w14:paraId="53D48390" w14:textId="06DD21C4" w:rsidR="00761355" w:rsidRDefault="0066029E">
      <w:pPr>
        <w:spacing w:before="120" w:after="120"/>
        <w:jc w:val="center"/>
        <w:rPr>
          <w:b/>
        </w:rPr>
      </w:pPr>
      <w:r>
        <w:rPr>
          <w:b/>
        </w:rPr>
        <w:t>MODELO DE PREVISIBILIDADE DE DESGASTE EM CANAIS DE CORRIDA</w:t>
      </w:r>
    </w:p>
    <w:p w14:paraId="1AC81CD5" w14:textId="77777777" w:rsidR="00761355" w:rsidRDefault="00761355">
      <w:pPr>
        <w:spacing w:before="120" w:after="120"/>
        <w:jc w:val="center"/>
        <w:rPr>
          <w:b/>
        </w:rPr>
      </w:pPr>
    </w:p>
    <w:p w14:paraId="0A06D1FA" w14:textId="17259488" w:rsidR="00761355" w:rsidRDefault="00A74D4E">
      <w:pPr>
        <w:spacing w:before="120" w:after="120"/>
        <w:jc w:val="center"/>
      </w:pPr>
      <w:r w:rsidRPr="00A74D4E">
        <w:t>Rodrigo Dalla Vecchia</w:t>
      </w:r>
      <w:r w:rsidR="00000000" w:rsidRPr="00A74D4E">
        <w:rPr>
          <w:vertAlign w:val="superscript"/>
        </w:rPr>
        <w:footnoteReference w:id="1"/>
      </w:r>
      <w:r w:rsidR="00000000" w:rsidRPr="00A74D4E">
        <w:t>;</w:t>
      </w:r>
      <w:r w:rsidRPr="00A74D4E">
        <w:t xml:space="preserve"> Alexandre </w:t>
      </w:r>
      <w:proofErr w:type="spellStart"/>
      <w:r w:rsidRPr="00A74D4E">
        <w:t>Kappel</w:t>
      </w:r>
      <w:proofErr w:type="spellEnd"/>
      <w:r w:rsidR="00000000" w:rsidRPr="00A74D4E">
        <w:rPr>
          <w:vertAlign w:val="superscript"/>
        </w:rPr>
        <w:footnoteReference w:id="2"/>
      </w:r>
      <w:r w:rsidR="00000000" w:rsidRPr="00A74D4E">
        <w:t>;</w:t>
      </w:r>
      <w:r w:rsidRPr="00A74D4E">
        <w:t xml:space="preserve"> Lucas </w:t>
      </w:r>
      <w:proofErr w:type="spellStart"/>
      <w:r w:rsidRPr="00A74D4E">
        <w:t>Seibert</w:t>
      </w:r>
      <w:proofErr w:type="spellEnd"/>
      <w:r w:rsidR="00000000" w:rsidRPr="00A74D4E">
        <w:rPr>
          <w:vertAlign w:val="superscript"/>
        </w:rPr>
        <w:footnoteReference w:id="3"/>
      </w:r>
      <w:r w:rsidR="00000000" w:rsidRPr="00A74D4E">
        <w:t>;</w:t>
      </w:r>
      <w:r w:rsidRPr="00A74D4E">
        <w:t xml:space="preserve"> Gustavo </w:t>
      </w:r>
      <w:proofErr w:type="spellStart"/>
      <w:r w:rsidRPr="00A74D4E">
        <w:t>Luis</w:t>
      </w:r>
      <w:proofErr w:type="spellEnd"/>
      <w:r w:rsidRPr="00A74D4E">
        <w:t xml:space="preserve"> Fett </w:t>
      </w:r>
      <w:proofErr w:type="spellStart"/>
      <w:r w:rsidRPr="00A74D4E">
        <w:t>Götz</w:t>
      </w:r>
      <w:proofErr w:type="spellEnd"/>
      <w:r w:rsidR="00000000" w:rsidRPr="00A74D4E">
        <w:rPr>
          <w:vertAlign w:val="superscript"/>
        </w:rPr>
        <w:footnoteReference w:id="4"/>
      </w:r>
      <w:r w:rsidR="00000000" w:rsidRPr="00A74D4E">
        <w:t xml:space="preserve">; </w:t>
      </w:r>
      <w:r w:rsidR="00000000" w:rsidRPr="0066029E">
        <w:rPr>
          <w:highlight w:val="yellow"/>
        </w:rPr>
        <w:t>Autor5</w:t>
      </w:r>
      <w:r w:rsidR="00000000" w:rsidRPr="0066029E">
        <w:rPr>
          <w:highlight w:val="yellow"/>
          <w:vertAlign w:val="superscript"/>
        </w:rPr>
        <w:footnoteReference w:id="5"/>
      </w:r>
      <w:r w:rsidR="00000000" w:rsidRPr="0066029E">
        <w:rPr>
          <w:highlight w:val="yellow"/>
        </w:rPr>
        <w:t xml:space="preserve"> (Insira todos os autores, incluindo o apresentador)</w:t>
      </w:r>
    </w:p>
    <w:p w14:paraId="42B218F2" w14:textId="77777777" w:rsidR="00761355" w:rsidRDefault="00761355">
      <w:pPr>
        <w:spacing w:before="120" w:after="120"/>
        <w:jc w:val="center"/>
        <w:rPr>
          <w:b/>
        </w:rPr>
      </w:pPr>
    </w:p>
    <w:p w14:paraId="4573CD70" w14:textId="77777777" w:rsidR="00761355" w:rsidRDefault="00000000">
      <w:pPr>
        <w:spacing w:before="120" w:after="120"/>
        <w:rPr>
          <w:b/>
        </w:rPr>
      </w:pPr>
      <w:r>
        <w:rPr>
          <w:b/>
        </w:rPr>
        <w:t>RESUMO</w:t>
      </w:r>
    </w:p>
    <w:p w14:paraId="5369E83B" w14:textId="5D18B911" w:rsidR="0066029E" w:rsidRPr="0066029E" w:rsidRDefault="0066029E" w:rsidP="0066029E">
      <w:pPr>
        <w:spacing w:before="120" w:after="120"/>
        <w:ind w:right="424"/>
      </w:pPr>
      <w:r w:rsidRPr="0066029E">
        <w:t>Há um interesse significativo em modelar com precisão as variáveis operacionais do processo de fabricação do ferro-gusa relacionado a previsão do desgaste refratário nos canais principais do alto-forno. Compreender as variáveis de desgaste refratário nos canais principais do alto-forno proporciona um processo mais seguro, competitivo, sustentável, de alta performance e de mais qualidade para o processamento do minério de ferro no alto-forno. Além disso, a tarefa é desafiadora devido às complexas interações entre variáveis do processo, que não são totalmente compreendidas. As decisões na indústria baseiam-se frequentemente na experiência ou em métodos indiretos.</w:t>
      </w:r>
      <w:r>
        <w:t xml:space="preserve"> </w:t>
      </w:r>
      <w:r w:rsidRPr="0066029E">
        <w:t xml:space="preserve">A partir de uma abordagem colaborativa entre </w:t>
      </w:r>
      <w:proofErr w:type="spellStart"/>
      <w:r w:rsidRPr="0066029E">
        <w:t>EvcomX</w:t>
      </w:r>
      <w:proofErr w:type="spellEnd"/>
      <w:r w:rsidRPr="0066029E">
        <w:t xml:space="preserve">, RHI Magnesita e parceiros do setor siderúrgico, desenvolveu-se o chamado </w:t>
      </w:r>
      <w:r>
        <w:t>M</w:t>
      </w:r>
      <w:r w:rsidRPr="0066029E">
        <w:t>odelo de</w:t>
      </w:r>
      <w:r>
        <w:t xml:space="preserve"> Previsibilidade de</w:t>
      </w:r>
      <w:r w:rsidRPr="0066029E">
        <w:t xml:space="preserve"> </w:t>
      </w:r>
      <w:r>
        <w:t>D</w:t>
      </w:r>
      <w:r w:rsidRPr="0066029E">
        <w:t xml:space="preserve">esgaste </w:t>
      </w:r>
      <w:r>
        <w:t>em C</w:t>
      </w:r>
      <w:r w:rsidRPr="0066029E">
        <w:t xml:space="preserve">anais de </w:t>
      </w:r>
      <w:r>
        <w:t>C</w:t>
      </w:r>
      <w:r w:rsidRPr="0066029E">
        <w:t>orrida, que tem como objetivo orientar efetivamente os engenheiros de processo, prevendo a influência das variáveis de fabricação do ferro-gusa no desgaste refratário dos canais principais do alto-forno. Com base em um algoritmo que combina técnicas de aprendizagem não supervisionada para agrupamento e um meta-</w:t>
      </w:r>
      <w:proofErr w:type="spellStart"/>
      <w:r w:rsidRPr="0066029E">
        <w:t>regressor</w:t>
      </w:r>
      <w:proofErr w:type="spellEnd"/>
      <w:r w:rsidRPr="0066029E">
        <w:t xml:space="preserve">, foi possível obter um modelo de alta acurácia para prever o desgaste refratário no canal principal do alto-forno, resultando em informações valiosas para o processo produtivo e de tomada de decisão relativos </w:t>
      </w:r>
      <w:proofErr w:type="gramStart"/>
      <w:r w:rsidRPr="0066029E">
        <w:t>à</w:t>
      </w:r>
      <w:proofErr w:type="gramEnd"/>
      <w:r w:rsidRPr="0066029E">
        <w:t xml:space="preserve"> paradas do canal de corrida para manutenção a partir da vida do canal prevista pelo modelo.</w:t>
      </w:r>
    </w:p>
    <w:p w14:paraId="00FAB9E1" w14:textId="77777777" w:rsidR="0066029E" w:rsidRDefault="0066029E">
      <w:pPr>
        <w:spacing w:before="120" w:after="120"/>
        <w:ind w:right="424"/>
      </w:pPr>
    </w:p>
    <w:p w14:paraId="7C6B69DC" w14:textId="1F4FA78B" w:rsidR="00761355" w:rsidRDefault="00000000" w:rsidP="0066029E">
      <w:pPr>
        <w:spacing w:before="120" w:after="120"/>
      </w:pPr>
      <w:r>
        <w:rPr>
          <w:b/>
        </w:rPr>
        <w:t>PALAVRAS-CHAVE</w:t>
      </w:r>
      <w:r>
        <w:t xml:space="preserve">: </w:t>
      </w:r>
      <w:r w:rsidR="0066029E" w:rsidRPr="0066029E">
        <w:t>Alto-Forno; Refratário, Canal Principal de Corrida; Modelo de Previsibilidade</w:t>
      </w:r>
      <w:r w:rsidR="0066029E">
        <w:t>.</w:t>
      </w:r>
    </w:p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761355" w:rsidRPr="0066029E" w14:paraId="0D1566F4" w14:textId="77777777">
        <w:trPr>
          <w:trHeight w:val="273"/>
        </w:trPr>
        <w:tc>
          <w:tcPr>
            <w:tcW w:w="3773" w:type="dxa"/>
          </w:tcPr>
          <w:p w14:paraId="3FC9164E" w14:textId="77777777" w:rsidR="00761355" w:rsidRPr="0066029E" w:rsidRDefault="00000000">
            <w:pPr>
              <w:jc w:val="center"/>
              <w:rPr>
                <w:b/>
                <w:highlight w:val="yellow"/>
              </w:rPr>
            </w:pPr>
            <w:r w:rsidRPr="0066029E">
              <w:rPr>
                <w:b/>
                <w:highlight w:val="yellow"/>
              </w:rPr>
              <w:t>NOME DO ATOR</w:t>
            </w:r>
          </w:p>
        </w:tc>
        <w:tc>
          <w:tcPr>
            <w:tcW w:w="5294" w:type="dxa"/>
          </w:tcPr>
          <w:p w14:paraId="20699211" w14:textId="77777777" w:rsidR="00761355" w:rsidRPr="0066029E" w:rsidRDefault="00000000">
            <w:pPr>
              <w:jc w:val="center"/>
              <w:rPr>
                <w:b/>
                <w:highlight w:val="yellow"/>
              </w:rPr>
            </w:pPr>
            <w:r w:rsidRPr="0066029E">
              <w:rPr>
                <w:b/>
                <w:highlight w:val="yellow"/>
              </w:rPr>
              <w:t>PAPEL NO ECOSSISTEMA</w:t>
            </w:r>
          </w:p>
        </w:tc>
      </w:tr>
      <w:tr w:rsidR="00761355" w:rsidRPr="0066029E" w14:paraId="4B55A325" w14:textId="77777777">
        <w:trPr>
          <w:trHeight w:val="273"/>
        </w:trPr>
        <w:tc>
          <w:tcPr>
            <w:tcW w:w="3773" w:type="dxa"/>
          </w:tcPr>
          <w:p w14:paraId="091B4AC7" w14:textId="77777777" w:rsidR="00761355" w:rsidRPr="0066029E" w:rsidRDefault="00000000">
            <w:pPr>
              <w:rPr>
                <w:highlight w:val="yellow"/>
              </w:rPr>
            </w:pPr>
            <w:r w:rsidRPr="0066029E">
              <w:rPr>
                <w:highlight w:val="yellow"/>
              </w:rPr>
              <w:t>Instituição X</w:t>
            </w:r>
          </w:p>
        </w:tc>
        <w:tc>
          <w:tcPr>
            <w:tcW w:w="5294" w:type="dxa"/>
          </w:tcPr>
          <w:p w14:paraId="7710673E" w14:textId="77777777" w:rsidR="00761355" w:rsidRPr="0066029E" w:rsidRDefault="00000000">
            <w:pPr>
              <w:rPr>
                <w:highlight w:val="yellow"/>
              </w:rPr>
            </w:pPr>
            <w:r w:rsidRPr="0066029E">
              <w:rPr>
                <w:highlight w:val="yellow"/>
              </w:rPr>
              <w:t>Startup, corporação, ecossistema, universidade...</w:t>
            </w:r>
          </w:p>
        </w:tc>
      </w:tr>
      <w:tr w:rsidR="00761355" w:rsidRPr="0066029E" w14:paraId="0179CFD7" w14:textId="77777777">
        <w:trPr>
          <w:trHeight w:val="273"/>
        </w:trPr>
        <w:tc>
          <w:tcPr>
            <w:tcW w:w="3773" w:type="dxa"/>
          </w:tcPr>
          <w:p w14:paraId="2F609264" w14:textId="77777777" w:rsidR="00761355" w:rsidRPr="0066029E" w:rsidRDefault="00000000">
            <w:pPr>
              <w:rPr>
                <w:highlight w:val="yellow"/>
              </w:rPr>
            </w:pPr>
            <w:r w:rsidRPr="0066029E">
              <w:rPr>
                <w:highlight w:val="yellow"/>
              </w:rPr>
              <w:t>Instituição Y</w:t>
            </w:r>
          </w:p>
        </w:tc>
        <w:tc>
          <w:tcPr>
            <w:tcW w:w="5294" w:type="dxa"/>
          </w:tcPr>
          <w:p w14:paraId="26DCD8E7" w14:textId="77777777" w:rsidR="00761355" w:rsidRPr="0066029E" w:rsidRDefault="00000000">
            <w:pPr>
              <w:rPr>
                <w:highlight w:val="yellow"/>
              </w:rPr>
            </w:pPr>
            <w:r w:rsidRPr="0066029E">
              <w:rPr>
                <w:highlight w:val="yellow"/>
              </w:rPr>
              <w:t>Startup, corporação, ecossistema, universidade...</w:t>
            </w:r>
          </w:p>
        </w:tc>
      </w:tr>
      <w:tr w:rsidR="00761355" w14:paraId="58C70F79" w14:textId="77777777">
        <w:trPr>
          <w:trHeight w:val="273"/>
        </w:trPr>
        <w:tc>
          <w:tcPr>
            <w:tcW w:w="3773" w:type="dxa"/>
          </w:tcPr>
          <w:p w14:paraId="39272E3E" w14:textId="77777777" w:rsidR="00761355" w:rsidRPr="0066029E" w:rsidRDefault="00000000">
            <w:pPr>
              <w:rPr>
                <w:highlight w:val="yellow"/>
              </w:rPr>
            </w:pPr>
            <w:r w:rsidRPr="0066029E">
              <w:rPr>
                <w:highlight w:val="yellow"/>
              </w:rPr>
              <w:t>Instituição Z...</w:t>
            </w:r>
          </w:p>
        </w:tc>
        <w:tc>
          <w:tcPr>
            <w:tcW w:w="5294" w:type="dxa"/>
          </w:tcPr>
          <w:p w14:paraId="2F25D0C6" w14:textId="77777777" w:rsidR="00761355" w:rsidRDefault="00000000">
            <w:r w:rsidRPr="0066029E">
              <w:rPr>
                <w:highlight w:val="yellow"/>
              </w:rPr>
              <w:t>Startup, corporação, ecossistema, universidade...</w:t>
            </w:r>
          </w:p>
        </w:tc>
      </w:tr>
    </w:tbl>
    <w:p w14:paraId="67A98319" w14:textId="77777777" w:rsidR="00761355" w:rsidRDefault="00000000">
      <w:pPr>
        <w:sectPr w:rsidR="00761355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701" w:right="1134" w:bottom="1134" w:left="1701" w:header="0" w:footer="709" w:gutter="0"/>
          <w:pgNumType w:start="1"/>
          <w:cols w:space="720"/>
          <w:titlePg/>
        </w:sectPr>
      </w:pPr>
      <w:r>
        <w:t>Nota: caso seja necessário ocultar algum nome de instituição, sugerimos que seja colocado somente a área da instituição. Exemplo: Empresa do Agronegócio.</w:t>
      </w:r>
    </w:p>
    <w:p w14:paraId="6D1756BB" w14:textId="77777777" w:rsidR="00761355" w:rsidRDefault="00761355"/>
    <w:p w14:paraId="33673F6B" w14:textId="77777777" w:rsidR="00761355" w:rsidRDefault="00000000">
      <w:pPr>
        <w:rPr>
          <w:b/>
        </w:rPr>
      </w:pPr>
      <w:r>
        <w:rPr>
          <w:b/>
        </w:rPr>
        <w:t xml:space="preserve">1. SITUAÇÃO PROBLEMA DE OPEN INNOVATION </w:t>
      </w:r>
    </w:p>
    <w:p w14:paraId="1AF8AC89" w14:textId="186FA8C7" w:rsidR="00761355" w:rsidRDefault="0066029E">
      <w:pPr>
        <w:spacing w:before="120" w:after="120"/>
        <w:ind w:firstLine="709"/>
      </w:pPr>
      <w:r w:rsidRPr="0066029E">
        <w:t xml:space="preserve">A situação-problema que levou à prática de open </w:t>
      </w:r>
      <w:proofErr w:type="spellStart"/>
      <w:r w:rsidRPr="0066029E">
        <w:t>innovation</w:t>
      </w:r>
      <w:proofErr w:type="spellEnd"/>
      <w:r w:rsidRPr="0066029E">
        <w:t xml:space="preserve"> foi a baixa previs</w:t>
      </w:r>
      <w:r>
        <w:t>i</w:t>
      </w:r>
      <w:r w:rsidRPr="0066029E">
        <w:t>bilidade do desgaste e,</w:t>
      </w:r>
      <w:r>
        <w:t xml:space="preserve"> </w:t>
      </w:r>
      <w:r w:rsidRPr="0066029E">
        <w:t xml:space="preserve">consequentemente, da duração de canais de corrida de alto-forno de clientes da RHI Magnesita após a realização de reparos utilizando materiais refratários desta, resultando muitas vezes no uso </w:t>
      </w:r>
      <w:r w:rsidRPr="0066029E">
        <w:t>subótimo</w:t>
      </w:r>
      <w:r w:rsidRPr="0066029E">
        <w:t xml:space="preserve"> do canal de corrida devido </w:t>
      </w:r>
      <w:proofErr w:type="gramStart"/>
      <w:r w:rsidRPr="0066029E">
        <w:t>à</w:t>
      </w:r>
      <w:proofErr w:type="gramEnd"/>
      <w:r w:rsidRPr="0066029E">
        <w:t xml:space="preserve"> paradas antecipadas para manutenção do canal, impactando assim a produtividade e a competitividade dos clientes da RHI Magnesita.</w:t>
      </w:r>
    </w:p>
    <w:p w14:paraId="50FFD43E" w14:textId="77777777" w:rsidR="00761355" w:rsidRDefault="00761355">
      <w:pPr>
        <w:spacing w:before="120" w:after="120"/>
      </w:pPr>
    </w:p>
    <w:p w14:paraId="017E2B83" w14:textId="77777777" w:rsidR="00761355" w:rsidRDefault="00000000">
      <w:pPr>
        <w:spacing w:before="120" w:after="120"/>
        <w:rPr>
          <w:b/>
        </w:rPr>
      </w:pPr>
      <w:r>
        <w:rPr>
          <w:b/>
        </w:rPr>
        <w:t>2. INTERVENÇÃO</w:t>
      </w:r>
    </w:p>
    <w:p w14:paraId="2B9F464E" w14:textId="75BA62CA" w:rsidR="00761355" w:rsidRDefault="0066029E" w:rsidP="0066029E">
      <w:pPr>
        <w:spacing w:before="120" w:after="120"/>
        <w:ind w:firstLine="720"/>
      </w:pPr>
      <w:r w:rsidRPr="0066029E">
        <w:t xml:space="preserve">A solução proposta foi desenvolver um modelo de previsibilidade de desgaste das paredes refratárias de canais de corrida de alto-forno em parceria com a startup </w:t>
      </w:r>
      <w:proofErr w:type="spellStart"/>
      <w:r w:rsidRPr="0066029E">
        <w:t>EvcomX</w:t>
      </w:r>
      <w:proofErr w:type="spellEnd"/>
      <w:r w:rsidRPr="0066029E">
        <w:t>. O software, acessado via internet, permitiu avaliar a tendência de desgaste das paredes refratárias do canal de corrida e indicar limites mínimos e máximos de operação do canal, auxiliando na tomada de decisão de engenheiros de processo e operadores quanto à definição do momento de parada do canal de corrida para a realização de reparos nas paredes refratárias. Essa solução exigiu colaboração entre as empresas, acesso a tecnologias avançadas e desenvolvimento conjunto do software.</w:t>
      </w:r>
    </w:p>
    <w:p w14:paraId="322B9578" w14:textId="77777777" w:rsidR="0066029E" w:rsidRDefault="0066029E" w:rsidP="0066029E">
      <w:pPr>
        <w:spacing w:before="120" w:after="120"/>
        <w:ind w:firstLine="720"/>
      </w:pPr>
    </w:p>
    <w:p w14:paraId="1858E166" w14:textId="77777777" w:rsidR="00761355" w:rsidRDefault="00000000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261D5E04" w14:textId="77777777" w:rsidR="00E009C9" w:rsidRDefault="00E009C9" w:rsidP="00E009C9">
      <w:pPr>
        <w:spacing w:before="120" w:after="120"/>
        <w:ind w:firstLine="720"/>
      </w:pPr>
      <w:r w:rsidRPr="00E009C9">
        <w:t xml:space="preserve">A solução do modelo de previsão de desgaste em canais de corrida trouxe inovações em diferentes aspectos. Permitiu a estimativa das dimensões da parede refratária na linha de gusa - medidas apenas quando o canal está vazio - a partir de medições de scanner a laser da linha de escória; gerou um aumento no número médio de dias de operação dos canais de corrida avaliados a partir das previsões de desgaste na linha de escória e estimativas de vida dos canais; permitiu estimar de forma rápida o desgaste dos canais de corrida a partir de dados de escaneamento a laser. </w:t>
      </w:r>
    </w:p>
    <w:p w14:paraId="39DDE272" w14:textId="6353EFA4" w:rsidR="00761355" w:rsidRDefault="00E009C9" w:rsidP="00E009C9">
      <w:pPr>
        <w:spacing w:before="120" w:after="120"/>
        <w:ind w:firstLine="720"/>
      </w:pPr>
      <w:r w:rsidRPr="00E009C9">
        <w:t xml:space="preserve">Assim, a solução proposta gerou um aumento na eficiência operacional e na competitividade de parceiros da RHI Magnesita. Além disso, a parceria com a </w:t>
      </w:r>
      <w:proofErr w:type="spellStart"/>
      <w:r w:rsidRPr="00E009C9">
        <w:t>EvcomX</w:t>
      </w:r>
      <w:proofErr w:type="spellEnd"/>
      <w:r w:rsidRPr="00E009C9">
        <w:t xml:space="preserve"> gerou um aumento significativo no conhecimento técnico e gerencial das empresas envolvidas, especialmente no desenvolvimento e uso de tecnologias de simulação. A colaboração resultou em benefícios tangíveis, como a maximização do ganho financeiro e a redução de custos operacionais. Também fortaleceu a posição das empresas no mercado, abrindo novas oportunidades de negócios e potenciais parcerias futuras.</w:t>
      </w:r>
    </w:p>
    <w:p w14:paraId="23921C4B" w14:textId="77777777" w:rsidR="00E009C9" w:rsidRDefault="00E009C9" w:rsidP="00E009C9">
      <w:pPr>
        <w:spacing w:before="120" w:after="120"/>
        <w:ind w:firstLine="720"/>
      </w:pPr>
      <w:r w:rsidRPr="00E009C9">
        <w:t xml:space="preserve">Os resultados obtidos com o modelo de previsão de desgaste em canais de corrida foram significativos para os atores envolvidos. Para parceiros da RHI Magnesita do setor siderúrgico, a solução resultou em um aumento na competitividade a partir de uma maior produtividade, decorrentes de melhores previsões quanto ao momento de parada dos canais de corrida avaliados, aumentando também a segurança do processo a partir do uso de um modelo que considera os limites de segurança específicos do cliente. </w:t>
      </w:r>
    </w:p>
    <w:p w14:paraId="28D582B3" w14:textId="313D929D" w:rsidR="00E009C9" w:rsidRDefault="00E009C9" w:rsidP="00E009C9">
      <w:pPr>
        <w:spacing w:before="120" w:after="120"/>
        <w:ind w:firstLine="720"/>
      </w:pPr>
      <w:r w:rsidRPr="00E009C9">
        <w:t xml:space="preserve">No caso da RHI Magnesita, a solução permitiu </w:t>
      </w:r>
      <w:r w:rsidRPr="00E009C9">
        <w:t>um melhor monitoramento</w:t>
      </w:r>
      <w:r w:rsidRPr="00E009C9">
        <w:t xml:space="preserve"> dos materiais refratários presentes nos canais de corrida de seus clientes, aumentando a conexão junto aos seus parceiros e a confiança destes nos produtos e na tecnologia de monitoramento oferecida pela RHI Magnesita. A parceria com a </w:t>
      </w:r>
      <w:proofErr w:type="spellStart"/>
      <w:r w:rsidRPr="00E009C9">
        <w:t>EvcomX</w:t>
      </w:r>
      <w:proofErr w:type="spellEnd"/>
      <w:r w:rsidRPr="00E009C9">
        <w:t xml:space="preserve"> também resultou em benefícios, como o aumento da visibilidade no mercado de soluções tecnológicas para previsibilidade operacional </w:t>
      </w:r>
      <w:r w:rsidRPr="00E009C9">
        <w:lastRenderedPageBreak/>
        <w:t>em processos siderúrgicos. A solução também gerou aprendizado e conhecimento que podem ser aplicados em outras áreas da indústria, contribuindo para o avanço tecnológico e a inovação no setor.</w:t>
      </w:r>
    </w:p>
    <w:p w14:paraId="41ACB799" w14:textId="77777777" w:rsidR="00E009C9" w:rsidRDefault="00E009C9">
      <w:pPr>
        <w:spacing w:before="120" w:after="120"/>
      </w:pPr>
    </w:p>
    <w:p w14:paraId="64992CAE" w14:textId="77777777" w:rsidR="00E009C9" w:rsidRDefault="00E009C9">
      <w:pPr>
        <w:spacing w:before="120" w:after="120"/>
      </w:pPr>
    </w:p>
    <w:p w14:paraId="1044FED7" w14:textId="77777777" w:rsidR="00761355" w:rsidRDefault="00000000">
      <w:pPr>
        <w:spacing w:before="120" w:after="120"/>
        <w:rPr>
          <w:b/>
        </w:rPr>
      </w:pPr>
      <w:r>
        <w:rPr>
          <w:b/>
        </w:rPr>
        <w:t>4. CONTRIBUIÇÕES</w:t>
      </w:r>
    </w:p>
    <w:p w14:paraId="60214F1B" w14:textId="6BA60B4A" w:rsidR="00761355" w:rsidRDefault="00E009C9" w:rsidP="00E009C9">
      <w:pPr>
        <w:spacing w:before="120" w:after="120"/>
        <w:ind w:firstLine="720"/>
      </w:pPr>
      <w:r w:rsidRPr="00E009C9">
        <w:t>O modelo de previsão do desgaste em canais de corrida proporcionou benefícios econômicos significativos, como a maximização do ganho financeiro e a redução de custos operacionais. Em termos sociais, contribuiu para a melhoria das condições de trabalho quanto à segurança operacional. Tecnologicamente, representou um avanço na utilização de tecnologias de simulação voltadas à previsibilidade operacional de processos industriais no setor siderúrgico. Gerencialmente, proporcionou maior agilidade na tomada de decisões e fortaleceu a capacidade de estabelecer parcerias estratégicas.</w:t>
      </w:r>
    </w:p>
    <w:p w14:paraId="4C43B412" w14:textId="77777777" w:rsidR="00E009C9" w:rsidRDefault="00E009C9" w:rsidP="00E009C9">
      <w:pPr>
        <w:spacing w:before="120" w:after="120"/>
        <w:ind w:firstLine="720"/>
      </w:pPr>
    </w:p>
    <w:p w14:paraId="78E4A5AF" w14:textId="77777777" w:rsidR="00761355" w:rsidRDefault="00000000">
      <w:pPr>
        <w:spacing w:before="120" w:after="120"/>
        <w:jc w:val="center"/>
        <w:rPr>
          <w:b/>
        </w:rPr>
      </w:pPr>
      <w:r>
        <w:rPr>
          <w:b/>
        </w:rPr>
        <w:t>AGRADECIMENTOS</w:t>
      </w:r>
    </w:p>
    <w:p w14:paraId="76B51379" w14:textId="77777777" w:rsidR="00761355" w:rsidRDefault="00000000">
      <w:pPr>
        <w:spacing w:before="120" w:after="120"/>
        <w:ind w:firstLine="709"/>
      </w:pPr>
      <w:r w:rsidRPr="00E009C9">
        <w:rPr>
          <w:highlight w:val="yellow"/>
        </w:rPr>
        <w:t>Nesta seção são apontados os agradecimentos. Sugere-se que os agradecimentos sejam institucionais e não pessoais. OPCIONAL</w:t>
      </w:r>
    </w:p>
    <w:p w14:paraId="1BB8EE30" w14:textId="77777777" w:rsidR="00761355" w:rsidRDefault="00761355">
      <w:pPr>
        <w:spacing w:before="120" w:after="120"/>
      </w:pPr>
    </w:p>
    <w:p w14:paraId="20966A33" w14:textId="77777777" w:rsidR="00761355" w:rsidRDefault="00000000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w14:paraId="4574FA4C" w14:textId="77777777" w:rsidR="00761355" w:rsidRDefault="00000000">
      <w:pPr>
        <w:spacing w:before="120" w:after="120"/>
      </w:pPr>
      <w:r>
        <w:t xml:space="preserve">OPICIONAL. Utilizar a NORMA ABNT 6023. Para auxiliar: </w:t>
      </w:r>
      <w:hyperlink r:id="rId11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</w:p>
    <w:p w14:paraId="33B3124C" w14:textId="77777777" w:rsidR="00761355" w:rsidRDefault="00761355">
      <w:pPr>
        <w:spacing w:before="120" w:after="120"/>
      </w:pPr>
    </w:p>
    <w:p w14:paraId="77D1BB88" w14:textId="77777777" w:rsidR="00761355" w:rsidRDefault="00000000">
      <w:pPr>
        <w:spacing w:before="120" w:after="120"/>
        <w:rPr>
          <w:b/>
        </w:rPr>
      </w:pPr>
      <w:r>
        <w:t xml:space="preserve">_____. </w:t>
      </w:r>
      <w:r>
        <w:rPr>
          <w:b/>
        </w:rPr>
        <w:t>Manual para Referências Bibliográficas (ABNT).</w:t>
      </w:r>
      <w:r>
        <w:t xml:space="preserve"> Acesso em 26/10/2023. Disponível em </w:t>
      </w:r>
      <w:hyperlink r:id="rId12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  <w:r>
        <w:t>.</w:t>
      </w:r>
    </w:p>
    <w:sectPr w:rsidR="00761355">
      <w:headerReference w:type="first" r:id="rId13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1A576" w14:textId="77777777" w:rsidR="000C0A06" w:rsidRDefault="000C0A06">
      <w:r>
        <w:separator/>
      </w:r>
    </w:p>
  </w:endnote>
  <w:endnote w:type="continuationSeparator" w:id="0">
    <w:p w14:paraId="4700FD30" w14:textId="77777777" w:rsidR="000C0A06" w:rsidRDefault="000C0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C67AE" w14:textId="1F5B60F1" w:rsidR="0076135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6029E">
      <w:rPr>
        <w:noProof/>
        <w:color w:val="000000"/>
      </w:rPr>
      <w:t>2</w:t>
    </w:r>
    <w:r>
      <w:rPr>
        <w:color w:val="000000"/>
      </w:rPr>
      <w:fldChar w:fldCharType="end"/>
    </w:r>
  </w:p>
  <w:p w14:paraId="10A23F2D" w14:textId="77777777" w:rsidR="00761355" w:rsidRDefault="0076135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41DCE" w14:textId="77777777" w:rsidR="0076135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6029E">
      <w:rPr>
        <w:noProof/>
        <w:color w:val="000000"/>
      </w:rPr>
      <w:t>1</w:t>
    </w:r>
    <w:r>
      <w:rPr>
        <w:color w:val="000000"/>
      </w:rPr>
      <w:fldChar w:fldCharType="end"/>
    </w:r>
  </w:p>
  <w:p w14:paraId="3D88401A" w14:textId="77777777" w:rsidR="00761355" w:rsidRDefault="0076135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5EDD40" w14:textId="77777777" w:rsidR="000C0A06" w:rsidRDefault="000C0A06">
      <w:r>
        <w:separator/>
      </w:r>
    </w:p>
  </w:footnote>
  <w:footnote w:type="continuationSeparator" w:id="0">
    <w:p w14:paraId="187C4C34" w14:textId="77777777" w:rsidR="000C0A06" w:rsidRDefault="000C0A06">
      <w:r>
        <w:continuationSeparator/>
      </w:r>
    </w:p>
  </w:footnote>
  <w:footnote w:id="1">
    <w:p w14:paraId="322597FF" w14:textId="4228B5D2" w:rsidR="00761355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proofErr w:type="spellStart"/>
      <w:r w:rsidR="00A74D4E">
        <w:rPr>
          <w:color w:val="000000"/>
          <w:sz w:val="20"/>
          <w:szCs w:val="20"/>
        </w:rPr>
        <w:t>EvcomX</w:t>
      </w:r>
      <w:proofErr w:type="spellEnd"/>
      <w:r w:rsidR="00A74D4E">
        <w:rPr>
          <w:color w:val="000000"/>
          <w:sz w:val="20"/>
          <w:szCs w:val="20"/>
        </w:rPr>
        <w:t>. rodrigo.vecchia@evcomx.com.br</w:t>
      </w:r>
    </w:p>
  </w:footnote>
  <w:footnote w:id="2">
    <w:p w14:paraId="6744D0E0" w14:textId="0C5E53A8" w:rsidR="00761355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proofErr w:type="spellStart"/>
      <w:r w:rsidR="00A74D4E">
        <w:rPr>
          <w:color w:val="000000"/>
          <w:sz w:val="20"/>
          <w:szCs w:val="20"/>
        </w:rPr>
        <w:t>EvcomX</w:t>
      </w:r>
      <w:proofErr w:type="spellEnd"/>
      <w:r w:rsidR="00A74D4E">
        <w:rPr>
          <w:color w:val="000000"/>
          <w:sz w:val="20"/>
          <w:szCs w:val="20"/>
        </w:rPr>
        <w:t>. alexandre.kappel@evcomx.com.br</w:t>
      </w:r>
    </w:p>
  </w:footnote>
  <w:footnote w:id="3">
    <w:p w14:paraId="560E06E7" w14:textId="64397886" w:rsidR="00761355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proofErr w:type="spellStart"/>
      <w:r w:rsidR="00A74D4E">
        <w:rPr>
          <w:color w:val="000000"/>
          <w:sz w:val="20"/>
          <w:szCs w:val="20"/>
        </w:rPr>
        <w:t>EvcomX</w:t>
      </w:r>
      <w:proofErr w:type="spellEnd"/>
      <w:r w:rsidR="00A74D4E">
        <w:rPr>
          <w:color w:val="000000"/>
          <w:sz w:val="20"/>
          <w:szCs w:val="20"/>
        </w:rPr>
        <w:t>. lucas.seibert@evcomx.com.br</w:t>
      </w:r>
    </w:p>
  </w:footnote>
  <w:footnote w:id="4">
    <w:p w14:paraId="732BAA7A" w14:textId="2351F8E1" w:rsidR="00761355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proofErr w:type="spellStart"/>
      <w:r w:rsidR="00A74D4E">
        <w:rPr>
          <w:color w:val="000000"/>
          <w:sz w:val="20"/>
          <w:szCs w:val="20"/>
        </w:rPr>
        <w:t>EvcomX</w:t>
      </w:r>
      <w:proofErr w:type="spellEnd"/>
      <w:r w:rsidR="00A74D4E">
        <w:rPr>
          <w:color w:val="000000"/>
          <w:sz w:val="20"/>
          <w:szCs w:val="20"/>
        </w:rPr>
        <w:t>. gustavo.fett@evcomx.com.br</w:t>
      </w:r>
    </w:p>
  </w:footnote>
  <w:footnote w:id="5">
    <w:p w14:paraId="6D37ED00" w14:textId="77777777" w:rsidR="00761355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Pr="00A74D4E">
        <w:rPr>
          <w:color w:val="000000"/>
          <w:sz w:val="20"/>
          <w:szCs w:val="20"/>
          <w:highlight w:val="yellow"/>
        </w:rPr>
        <w:t xml:space="preserve">Colocar a instituição e o </w:t>
      </w:r>
      <w:proofErr w:type="spellStart"/>
      <w:r w:rsidRPr="00A74D4E">
        <w:rPr>
          <w:color w:val="000000"/>
          <w:sz w:val="20"/>
          <w:szCs w:val="20"/>
          <w:highlight w:val="yellow"/>
        </w:rPr>
        <w:t>email</w:t>
      </w:r>
      <w:proofErr w:type="spellEnd"/>
      <w:r w:rsidRPr="00A74D4E">
        <w:rPr>
          <w:color w:val="000000"/>
          <w:sz w:val="20"/>
          <w:szCs w:val="20"/>
          <w:highlight w:val="yellow"/>
        </w:rPr>
        <w:t xml:space="preserve"> do autor 1. Exemplo: 100 Open </w:t>
      </w:r>
      <w:proofErr w:type="spellStart"/>
      <w:r w:rsidRPr="00A74D4E">
        <w:rPr>
          <w:color w:val="000000"/>
          <w:sz w:val="20"/>
          <w:szCs w:val="20"/>
          <w:highlight w:val="yellow"/>
        </w:rPr>
        <w:t>Innovation</w:t>
      </w:r>
      <w:proofErr w:type="spellEnd"/>
      <w:r w:rsidRPr="00A74D4E">
        <w:rPr>
          <w:color w:val="000000"/>
          <w:sz w:val="20"/>
          <w:szCs w:val="20"/>
          <w:highlight w:val="yellow"/>
        </w:rPr>
        <w:t>. contato@coinn.com.br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0DFD4" w14:textId="77777777" w:rsidR="00761355" w:rsidRDefault="0076135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EF462" w14:textId="77777777" w:rsidR="0076135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distT="114300" distB="114300" distL="114300" distR="114300" wp14:anchorId="04EE5149" wp14:editId="45B0FEA3">
          <wp:extent cx="7511398" cy="2147888"/>
          <wp:effectExtent l="0" t="0" r="0" b="0"/>
          <wp:docPr id="211789134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92701" w14:textId="77777777" w:rsidR="00761355" w:rsidRDefault="0076135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355"/>
    <w:rsid w:val="000C0A06"/>
    <w:rsid w:val="0066029E"/>
    <w:rsid w:val="00761355"/>
    <w:rsid w:val="00A74D4E"/>
    <w:rsid w:val="00BD2B95"/>
    <w:rsid w:val="00C132BE"/>
    <w:rsid w:val="00E0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5FA18"/>
  <w15:docId w15:val="{0C9F7C38-3FEB-4C89-B93F-31272AE07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602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083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5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edisciplinas.usp.br/pluginfile.php/5271957/mod_resource/content/1/REFER%C3%8ANCIAS%20CITA%C3%87OES%20ABNT%202018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edisciplinas.usp.br/pluginfile.php/5271957/mod_resource/content/1/REFER%C3%8ANCIAS%20CITA%C3%87OES%20ABNT%202018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1104</Words>
  <Characters>5965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Gustavo Fett</cp:lastModifiedBy>
  <cp:revision>5</cp:revision>
  <dcterms:created xsi:type="dcterms:W3CDTF">2024-07-12T18:25:00Z</dcterms:created>
  <dcterms:modified xsi:type="dcterms:W3CDTF">2025-07-21T19:39:00Z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