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95B42" w14:textId="77777777" w:rsidR="00BC73F6" w:rsidRDefault="00BC73F6">
      <w:pPr>
        <w:pStyle w:val="Standard"/>
        <w:spacing w:before="120" w:after="120"/>
        <w:jc w:val="center"/>
        <w:rPr>
          <w:b/>
        </w:rPr>
      </w:pPr>
    </w:p>
    <w:p w14:paraId="1B995B43" w14:textId="77777777" w:rsidR="00BC73F6" w:rsidRDefault="00D565C5">
      <w:pPr>
        <w:spacing w:before="120" w:after="120"/>
        <w:jc w:val="center"/>
        <w:rPr>
          <w:b/>
        </w:rPr>
      </w:pPr>
      <w:r>
        <w:rPr>
          <w:b/>
        </w:rPr>
        <w:t>INTELIGÊNCIA EM ESCALA: USO DE AGENTES DE IA EM COMUNICAÇÃO E RELACIONAMENTO NA PETROBRAS</w:t>
      </w:r>
    </w:p>
    <w:p w14:paraId="1B995B44" w14:textId="77777777" w:rsidR="00BC73F6" w:rsidRDefault="00BC73F6">
      <w:pPr>
        <w:pStyle w:val="Standard"/>
        <w:spacing w:before="120" w:after="120"/>
        <w:jc w:val="center"/>
        <w:rPr>
          <w:b/>
        </w:rPr>
      </w:pPr>
    </w:p>
    <w:p w14:paraId="1B995B45" w14:textId="77777777" w:rsidR="00BC73F6" w:rsidRDefault="00D565C5">
      <w:pPr>
        <w:spacing w:before="120" w:after="120"/>
        <w:jc w:val="center"/>
      </w:pPr>
      <w:r>
        <w:t xml:space="preserve">Aislan Ribeiro Greca; Manuela Godoy Brandão </w:t>
      </w:r>
    </w:p>
    <w:p w14:paraId="1B995B46" w14:textId="77777777" w:rsidR="00BC73F6" w:rsidRDefault="00BC73F6">
      <w:pPr>
        <w:spacing w:before="120" w:after="120"/>
        <w:jc w:val="center"/>
        <w:rPr>
          <w:b/>
        </w:rPr>
      </w:pPr>
    </w:p>
    <w:p w14:paraId="1B995B47" w14:textId="77777777" w:rsidR="00BC73F6" w:rsidRDefault="00D565C5">
      <w:pPr>
        <w:spacing w:before="120" w:after="120"/>
        <w:rPr>
          <w:b/>
        </w:rPr>
      </w:pPr>
      <w:r>
        <w:rPr>
          <w:b/>
        </w:rPr>
        <w:t>RESUMO</w:t>
      </w:r>
    </w:p>
    <w:p w14:paraId="1B995B48" w14:textId="77777777" w:rsidR="00BC73F6" w:rsidRDefault="00D565C5">
      <w:pPr>
        <w:spacing w:before="120" w:after="120"/>
      </w:pPr>
      <w:r>
        <w:t xml:space="preserve">Diante de um cenário global marcado pelo volume exponencial de dados e pela </w:t>
      </w:r>
      <w:r>
        <w:t>complexidade na gestão de relacionamentos corporativos, a Petrobras identificou desafios críticos em sua gestão de comunicação e relacionamento: a dispersão e o volume de informações em fontes externas, a fragmentação interna de dados sobre seus 13 públicos de interesse e os processos manuais que limitavam a agilidade decisória. Para enfrentar essas lacunas, a empresa lançou em 2021 um desafio por meio do programa Conexões para a Inovação – iniciativa de inovação aberta da Petrobras –, com o objetivo de des</w:t>
      </w:r>
      <w:r>
        <w:t>envolver uma solução integrada de monitoramento de temas estratégicos e stakeholders do setor de energia. </w:t>
      </w:r>
    </w:p>
    <w:p w14:paraId="1B995B49" w14:textId="77777777" w:rsidR="00BC73F6" w:rsidRDefault="00D565C5">
      <w:pPr>
        <w:spacing w:before="120" w:after="120"/>
      </w:pPr>
      <w:r>
        <w:t xml:space="preserve">O consórcio formado pelas startups Agents (alemã) e NeoPTO (brasileira) propôs uma plataforma pioneira baseada em agentes de inteligência artificial para atender ao desafio. O desenvolvimento da solução seguiu uma abordagem ágil, com workshops de </w:t>
      </w:r>
      <w:r>
        <w:rPr>
          <w:i/>
          <w:iCs/>
        </w:rPr>
        <w:t xml:space="preserve">design thinking </w:t>
      </w:r>
      <w:r>
        <w:t xml:space="preserve">para alinhamento técnico e funcional, além de entregas incrementais mensais validadas por usuários-chave. Ao final da fase de desenvolvimento, o produto alcançado possuía 9 agentes de IA que realizam funções como mineração de dados em fontes públicas (imprensa, redes sociais, artigos científicos, entre outros), identificação de narrativas emergentes, análise de sentimentos, identificação das principais vozes em temas estratégicos e geração automatizada de relatórios executivos. </w:t>
      </w:r>
    </w:p>
    <w:p w14:paraId="1B995B4A" w14:textId="77777777" w:rsidR="00BC73F6" w:rsidRDefault="00D565C5">
      <w:pPr>
        <w:spacing w:before="120" w:after="120"/>
      </w:pPr>
      <w:r>
        <w:t>Atualmente, a plataforma já está em produção na empresa, tendo coletado mais de 1,6 milhão de notícias e 11,8 milhões de conteúdos em redes sociais, enquanto 39 usuários ativos de diferentes gerências na Petrobras já criaram 104 painéis analíticos customizados. A solução não apenas eliminou gargalos manuais, mas também permite a identificação proativa de riscos, oportunidades e influenciadores críticos, viabilizando decisões ágeis baseadas em dados integrados. Projetada para ser modular, a arquitetura do si</w:t>
      </w:r>
      <w:r>
        <w:t>stema permite a incorporação contínua de novos agentes de IA e fontes de dados, garantindo adaptabilidade às demandas futuras da empresa. </w:t>
      </w:r>
    </w:p>
    <w:p w14:paraId="1B995B4B" w14:textId="77777777" w:rsidR="00BC73F6" w:rsidRDefault="00D565C5">
      <w:pPr>
        <w:spacing w:before="120" w:after="120"/>
      </w:pPr>
      <w:r>
        <w:t> </w:t>
      </w:r>
    </w:p>
    <w:p w14:paraId="1B995B4C" w14:textId="77777777" w:rsidR="00BC73F6" w:rsidRDefault="00D565C5">
      <w:pPr>
        <w:spacing w:before="120" w:after="120"/>
      </w:pPr>
      <w:r>
        <w:rPr>
          <w:b/>
          <w:bCs/>
        </w:rPr>
        <w:t>PALAVRAS-CHAVE</w:t>
      </w:r>
      <w:r>
        <w:t>: Inteligência Artificial, Monitoramento de Comunicação, Gestão de Stakeholders, Inovação Aberta, Tomada de Decisão </w:t>
      </w:r>
    </w:p>
    <w:p w14:paraId="1B995B4D" w14:textId="77777777" w:rsidR="00BC73F6" w:rsidRDefault="00BC73F6">
      <w:pPr>
        <w:spacing w:before="120" w:after="120"/>
      </w:pPr>
    </w:p>
    <w:p w14:paraId="1B995B4E" w14:textId="77777777" w:rsidR="00BC73F6" w:rsidRDefault="00BC73F6">
      <w:pPr>
        <w:spacing w:before="120" w:after="120"/>
      </w:pPr>
    </w:p>
    <w:p w14:paraId="1B995B4F" w14:textId="77777777" w:rsidR="00BC73F6" w:rsidRDefault="00BC73F6">
      <w:pPr>
        <w:spacing w:before="120" w:after="120"/>
      </w:pPr>
    </w:p>
    <w:p w14:paraId="1B995B50" w14:textId="77777777" w:rsidR="00BC73F6" w:rsidRDefault="00D565C5">
      <w:pPr>
        <w:spacing w:before="120" w:after="120"/>
      </w:pPr>
      <w:r>
        <w:t> </w:t>
      </w:r>
    </w:p>
    <w:tbl>
      <w:tblPr>
        <w:tblW w:w="9045" w:type="dxa"/>
        <w:tblCellMar>
          <w:left w:w="10" w:type="dxa"/>
          <w:right w:w="10" w:type="dxa"/>
        </w:tblCellMar>
        <w:tblLook w:val="04A0" w:firstRow="1" w:lastRow="0" w:firstColumn="1" w:lastColumn="0" w:noHBand="0" w:noVBand="1"/>
      </w:tblPr>
      <w:tblGrid>
        <w:gridCol w:w="3765"/>
        <w:gridCol w:w="5280"/>
      </w:tblGrid>
      <w:tr w:rsidR="00BC73F6" w14:paraId="1B995B53" w14:textId="77777777">
        <w:tblPrEx>
          <w:tblCellMar>
            <w:top w:w="0" w:type="dxa"/>
            <w:bottom w:w="0" w:type="dxa"/>
          </w:tblCellMar>
        </w:tblPrEx>
        <w:trPr>
          <w:trHeight w:val="300"/>
        </w:trPr>
        <w:tc>
          <w:tcPr>
            <w:tcW w:w="37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995B51" w14:textId="77777777" w:rsidR="00BC73F6" w:rsidRDefault="00D565C5">
            <w:pPr>
              <w:spacing w:before="120" w:after="120"/>
            </w:pPr>
            <w:r>
              <w:rPr>
                <w:b/>
                <w:bCs/>
              </w:rPr>
              <w:lastRenderedPageBreak/>
              <w:t>NOME DO ATOR</w:t>
            </w:r>
            <w:r>
              <w:t> </w:t>
            </w:r>
          </w:p>
        </w:tc>
        <w:tc>
          <w:tcPr>
            <w:tcW w:w="528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995B52" w14:textId="77777777" w:rsidR="00BC73F6" w:rsidRDefault="00D565C5">
            <w:pPr>
              <w:spacing w:before="120" w:after="120"/>
            </w:pPr>
            <w:r>
              <w:rPr>
                <w:b/>
                <w:bCs/>
              </w:rPr>
              <w:t>PAPEL NO ECOSSISTEMA</w:t>
            </w:r>
            <w:r>
              <w:t> </w:t>
            </w:r>
          </w:p>
        </w:tc>
      </w:tr>
      <w:tr w:rsidR="00BC73F6" w14:paraId="1B995B56" w14:textId="77777777">
        <w:tblPrEx>
          <w:tblCellMar>
            <w:top w:w="0" w:type="dxa"/>
            <w:bottom w:w="0" w:type="dxa"/>
          </w:tblCellMar>
        </w:tblPrEx>
        <w:trPr>
          <w:trHeight w:val="300"/>
        </w:trPr>
        <w:tc>
          <w:tcPr>
            <w:tcW w:w="37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995B54" w14:textId="77777777" w:rsidR="00BC73F6" w:rsidRDefault="00D565C5">
            <w:pPr>
              <w:spacing w:before="120" w:after="120"/>
            </w:pPr>
            <w:r>
              <w:t>Aislan Ribeiro Greca </w:t>
            </w:r>
          </w:p>
        </w:tc>
        <w:tc>
          <w:tcPr>
            <w:tcW w:w="528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995B55" w14:textId="77777777" w:rsidR="00BC73F6" w:rsidRDefault="00D565C5">
            <w:pPr>
              <w:spacing w:before="120" w:after="120"/>
            </w:pPr>
            <w:r>
              <w:t>Petrobras – greca@petrobras.com.br </w:t>
            </w:r>
          </w:p>
        </w:tc>
      </w:tr>
      <w:tr w:rsidR="00BC73F6" w14:paraId="1B995B59" w14:textId="77777777">
        <w:tblPrEx>
          <w:tblCellMar>
            <w:top w:w="0" w:type="dxa"/>
            <w:bottom w:w="0" w:type="dxa"/>
          </w:tblCellMar>
        </w:tblPrEx>
        <w:trPr>
          <w:trHeight w:val="300"/>
        </w:trPr>
        <w:tc>
          <w:tcPr>
            <w:tcW w:w="376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995B57" w14:textId="77777777" w:rsidR="00BC73F6" w:rsidRDefault="00D565C5">
            <w:pPr>
              <w:spacing w:before="120" w:after="120"/>
            </w:pPr>
            <w:r>
              <w:t>Manuela Godoy Brandão </w:t>
            </w:r>
          </w:p>
        </w:tc>
        <w:tc>
          <w:tcPr>
            <w:tcW w:w="528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995B58" w14:textId="77777777" w:rsidR="00BC73F6" w:rsidRDefault="00D565C5">
            <w:pPr>
              <w:spacing w:before="120" w:after="120"/>
            </w:pPr>
            <w:r>
              <w:t xml:space="preserve">Petrobras - </w:t>
            </w:r>
            <w:r>
              <w:t>manuelagodoy@petrobras.com.br </w:t>
            </w:r>
          </w:p>
        </w:tc>
      </w:tr>
    </w:tbl>
    <w:p w14:paraId="1B995B5A" w14:textId="77777777" w:rsidR="00BC73F6" w:rsidRDefault="00BC73F6">
      <w:pPr>
        <w:rPr>
          <w:lang w:val="en-US"/>
        </w:rPr>
      </w:pPr>
    </w:p>
    <w:p w14:paraId="1B995B5B" w14:textId="77777777" w:rsidR="00BC73F6" w:rsidRDefault="00BC73F6">
      <w:pPr>
        <w:rPr>
          <w:lang w:val="en-US"/>
        </w:rPr>
      </w:pPr>
    </w:p>
    <w:p w14:paraId="1B995B5C" w14:textId="77777777" w:rsidR="00BC73F6" w:rsidRDefault="00D565C5">
      <w:pPr>
        <w:rPr>
          <w:b/>
        </w:rPr>
      </w:pPr>
      <w:r>
        <w:rPr>
          <w:b/>
        </w:rPr>
        <w:t xml:space="preserve">1. SITUAÇÃO PROBLEMA DE OPEN INNOVATION </w:t>
      </w:r>
    </w:p>
    <w:p w14:paraId="1B995B5D" w14:textId="77777777" w:rsidR="00BC73F6" w:rsidRDefault="00D565C5">
      <w:pPr>
        <w:spacing w:after="160" w:line="276" w:lineRule="auto"/>
      </w:pPr>
      <w:r>
        <w:t>Em um contexto global marcado pela explosão de dados e pela crescente complexidade na gestão de relacionamentos estratégicos, a Petrobras enfrentou desafios críticos que demandavam uma abordagem inovadora para manter sua competitividade e capacidade decisória. A dispersão de informações em fontes externas heterogêneas (ex: imprensa, redes sociais, fóruns especializados, artigos), a fragmentação interna de dados sobre seus 13 públicos de interesse distintos (como mídia, investidores, clientes e a sociedade b</w:t>
      </w:r>
      <w:r>
        <w:t>rasileira) e a dependência de processos manuais para análise e consolidação de insights representavam obstáculos significativos. Essas lacunas comprometiam a agilidade na identificação de riscos emergentes, oportunidades de mercado e tendências críticas para o setor energético, além de limitar a visão integrada necessária para alinhar ações corporativas de relacionamento e comunicação às dinâmicas socioeconômicas, ambientais e de mercado.</w:t>
      </w:r>
    </w:p>
    <w:p w14:paraId="1B995B5E" w14:textId="77777777" w:rsidR="00BC73F6" w:rsidRDefault="00D565C5">
      <w:pPr>
        <w:spacing w:after="160" w:line="276" w:lineRule="auto"/>
        <w:jc w:val="left"/>
      </w:pPr>
      <w:r>
        <w:t>A operação da Petrobras exigia, portanto, uma solução capaz de monitorar temas estratégicos e stakeholders de forma contínua e proativa, superando três limitações principais:</w:t>
      </w:r>
    </w:p>
    <w:p w14:paraId="1B995B5F" w14:textId="77777777" w:rsidR="00BC73F6" w:rsidRDefault="00D565C5">
      <w:pPr>
        <w:spacing w:after="160" w:line="276" w:lineRule="auto"/>
        <w:jc w:val="left"/>
      </w:pPr>
      <w:r>
        <w:t>Falta de integração: Dados críticos estavam isolados em silos, sem correlação entre fontes públicas e análises qualitativas, assim como, sem o devido compartilhamento interno e integração do conhecimento.</w:t>
      </w:r>
      <w:r>
        <w:br/>
      </w:r>
      <w:r>
        <w:t>Latência decisória: Processos manuais de curadoria e relatórios demandavam semanas para consolidar insights, retardando respostas a eventos críticos.</w:t>
      </w:r>
      <w:r>
        <w:br/>
      </w:r>
      <w:r>
        <w:t>Complexidade analítica: A diversidade de narrativas e influenciadores no setor energético dificultava a priorização de temas relevantes para a estratégia corporativa.</w:t>
      </w:r>
      <w:r>
        <w:br/>
      </w:r>
      <w:r>
        <w:br/>
      </w:r>
      <w:r>
        <w:t>Diante desse cenário, a Petrobras adotou o Open Innovation como vetor estratégico, lançando em 2021 um desafio por meio do programa Conexões para a Inovação. A iniciativa visava atrair soluções externas que combinassem tecnologias emergentes com expertise em inteligência competitiva, garantindo escalabilidade e adaptabilidade às demandas dinâmicas do setor. A escolha pelo Open Innovation refletiu a necessidade de superar barreiras internas de capacidade técnica e acelerar o desenvolvimento de uma plataforma</w:t>
      </w:r>
      <w:r>
        <w:t xml:space="preserve"> modular, alinhada aos valores de Inovação e Sustentabilidade da companhia.</w:t>
      </w:r>
    </w:p>
    <w:p w14:paraId="1B995B60" w14:textId="77777777" w:rsidR="00BC73F6" w:rsidRDefault="00D565C5">
      <w:r>
        <w:t xml:space="preserve">O problema central residia na incapacidade de transformar dados não estruturados (como notícias, posts em redes sociais e discussões técnicas) em insights acionáveis para decisões estratégicas. Por exemplo, a identificação tardia de </w:t>
      </w:r>
      <w:r>
        <w:t xml:space="preserve">mudanças regulatórias ou crises de </w:t>
      </w:r>
      <w:r>
        <w:lastRenderedPageBreak/>
        <w:t>reputação em estágios iniciais gerava custos operacionais e expunha a empresa a riscos evitáveis. Além disso, a falta de uma visão unificada sobre influenciadores-chave limitava a eficácia do engajamento com stakeholders críticos.</w:t>
      </w:r>
    </w:p>
    <w:p w14:paraId="1B995B61" w14:textId="77777777" w:rsidR="00BC73F6" w:rsidRDefault="00D565C5">
      <w:pPr>
        <w:spacing w:after="160" w:line="276" w:lineRule="auto"/>
      </w:pPr>
      <w:r>
        <w:t>Em síntese, o problema exigia não apenas uma solução tecnológica, mas uma reestruturação do processo de inteligência estratégica, alinhada à visão de futuro da Petrobras. O Open Innovation mostrou-se essencial para superar limitações internas, incorporar agilidade e contribuir para que a companhia mantivesse sua liderança em um setor em transformação acelerada.</w:t>
      </w:r>
    </w:p>
    <w:p w14:paraId="1B995B62" w14:textId="77777777" w:rsidR="00BC73F6" w:rsidRDefault="00BC73F6">
      <w:pPr>
        <w:spacing w:before="120" w:after="120"/>
      </w:pPr>
    </w:p>
    <w:p w14:paraId="1B995B63" w14:textId="77777777" w:rsidR="00BC73F6" w:rsidRDefault="00D565C5">
      <w:pPr>
        <w:spacing w:before="120" w:after="120"/>
      </w:pPr>
      <w:r>
        <w:rPr>
          <w:b/>
          <w:bCs/>
        </w:rPr>
        <w:t>2. INTERVENÇÃO</w:t>
      </w:r>
    </w:p>
    <w:p w14:paraId="1B995B64" w14:textId="77777777" w:rsidR="00BC73F6" w:rsidRDefault="00D565C5">
      <w:pPr>
        <w:spacing w:before="120" w:after="120"/>
        <w:ind w:firstLine="709"/>
      </w:pPr>
      <w:r>
        <w:t>Para responder ao desafio de monitoramento integrado de temas estratégicos e stakeholders, o programa Conexões para a Inovação da Petrobras selecionou a proposta inovadora do consórcio formado pelas startups Agents (alemã) e NeoPTO (brasileira). A solução concebida consistiu em uma plataforma digital pioneira que utiliza múltiplos agentes de inteligência artificial para capturar, processar, analisar e distribuir informações relevantes de forma automatizada e em tempo real.</w:t>
      </w:r>
    </w:p>
    <w:p w14:paraId="1B995B65" w14:textId="77777777" w:rsidR="00BC73F6" w:rsidRDefault="00D565C5">
      <w:pPr>
        <w:spacing w:before="120" w:after="120"/>
        <w:ind w:firstLine="709"/>
      </w:pPr>
      <w:r>
        <w:t>A essência da solução está em sua arquitetura distribuída de inteligência artificial: nove agentes especializados que trabalham de forma coordenada, cada um responsável por funções específicas como mineração de dados em fontes públicas diversas, detecção automática de narrativas emergentes, análise de sentimentos, identificação de influenciadores-chave e geração de relatórios executivos personalizados. Estes agentes interagem entre si, criando um ecossistema cognitivo que simula o processo analítico humano,</w:t>
      </w:r>
      <w:r>
        <w:t xml:space="preserve"> porém com capacidade para processar volumes massivos de dados sem as limitações de viés ou fadiga.</w:t>
      </w:r>
    </w:p>
    <w:p w14:paraId="1B995B66" w14:textId="77777777" w:rsidR="00BC73F6" w:rsidRDefault="00D565C5">
      <w:pPr>
        <w:spacing w:before="120" w:after="120"/>
        <w:ind w:firstLine="709"/>
        <w:jc w:val="left"/>
      </w:pPr>
      <w:r>
        <w:t xml:space="preserve">O desenvolvimento da plataforma seguiu uma metodologia ágil e colaborativa, dividida em três etapas principais. Inicialmente, foram realizados workshops intensivos de </w:t>
      </w:r>
      <w:r>
        <w:rPr>
          <w:i/>
          <w:iCs/>
        </w:rPr>
        <w:t>design thinking</w:t>
      </w:r>
      <w:r>
        <w:t xml:space="preserve"> com especialistas da Petrobras em comunicação, relacionamento institucional e tecnologia, permitindo mapear requisitos técnicos e funcionais. Este alinhamento inicial foi crucial para garantir que a solução atendesse às necessidades específicas da empresa e se integrasse aos fluxos de trabalho existentes.</w:t>
      </w:r>
    </w:p>
    <w:p w14:paraId="1B995B67" w14:textId="77777777" w:rsidR="00BC73F6" w:rsidRDefault="00D565C5">
      <w:pPr>
        <w:spacing w:before="120" w:after="120"/>
        <w:ind w:firstLine="709"/>
        <w:jc w:val="left"/>
      </w:pPr>
      <w:r>
        <w:t xml:space="preserve">Na fase de construção, o consórcio adotou ciclos semanais de desenvolvimento e validação, permitindo ajustes incrementais com base no </w:t>
      </w:r>
      <w:r>
        <w:rPr>
          <w:i/>
          <w:iCs/>
        </w:rPr>
        <w:t>feedback</w:t>
      </w:r>
      <w:r>
        <w:t xml:space="preserve"> dos usuários-chave da Petrobras. Esta abordagem iterativa foi fundamental para superar desafios técnicos como a o entendimento real da proposta por base do consórcio e a personalização de algoritmos para o contexto específico do setor energético bem como o desenvolvimento de interfaces intuitivas para usuários com diferentes perfis técnicos. </w:t>
      </w:r>
    </w:p>
    <w:p w14:paraId="1B995B68" w14:textId="77777777" w:rsidR="00BC73F6" w:rsidRDefault="00D565C5">
      <w:pPr>
        <w:spacing w:before="120" w:after="120"/>
        <w:ind w:firstLine="709"/>
      </w:pPr>
      <w:r>
        <w:t xml:space="preserve">A solução final, que entrou em produção em 2024, se difere das ferramentas convencionais de monitoramento ao oferecer não apenas dados consolidados, mas </w:t>
      </w:r>
      <w:r>
        <w:rPr>
          <w:i/>
          <w:iCs/>
        </w:rPr>
        <w:t xml:space="preserve">insights </w:t>
      </w:r>
      <w:r>
        <w:t>estratégicos acionáveis. Sua arquitetura modular permite a incorporação contínua de novos agentes e fontes de dados, garantindo adaptabilidade às demandas futuras. Mais do que uma simples ferramenta tecnológica, a plataforma introduz mudanças significativas no modelo de inteligência estratégica da Petrobras, contribuindo para que a organização lide com maior eficiência com um cenário informacional em constante transformação.</w:t>
      </w:r>
    </w:p>
    <w:p w14:paraId="1B995B69" w14:textId="77777777" w:rsidR="00BC73F6" w:rsidRDefault="00BC73F6">
      <w:pPr>
        <w:spacing w:before="120" w:after="120"/>
      </w:pPr>
    </w:p>
    <w:p w14:paraId="1B995B6A" w14:textId="77777777" w:rsidR="00BC73F6" w:rsidRDefault="00D565C5">
      <w:pPr>
        <w:spacing w:before="120" w:after="120"/>
      </w:pPr>
      <w:r>
        <w:rPr>
          <w:b/>
          <w:bCs/>
        </w:rPr>
        <w:t xml:space="preserve">3. RESULTADOS </w:t>
      </w:r>
    </w:p>
    <w:p w14:paraId="1B995B6B" w14:textId="77777777" w:rsidR="00BC73F6" w:rsidRDefault="00D565C5">
      <w:pPr>
        <w:spacing w:before="120" w:after="120"/>
        <w:ind w:firstLine="709"/>
      </w:pPr>
      <w:r>
        <w:t>A plataforma integrada de monitoramento baseada em agentes de inteligência artificial produziu resultados transformadores para todos os atores envolvidos, consolidando-se como caso de inovação aberta com benefícios multilaterais.</w:t>
      </w:r>
    </w:p>
    <w:p w14:paraId="1B995B6C" w14:textId="77777777" w:rsidR="00BC73F6" w:rsidRDefault="00D565C5">
      <w:pPr>
        <w:spacing w:before="120" w:after="120" w:line="256" w:lineRule="auto"/>
        <w:ind w:firstLine="709"/>
      </w:pPr>
      <w:r>
        <w:t xml:space="preserve"> Para a Petrobras, os ganhos operacionais foram imediatos e mensuráveis. Até o momento, a plataforma já processou, entre outros dados, mais de 1,6 milhão de notícias, 9 milhões de twittes, 600 mil vídeos no YouTube, 900 mil postagens do Instagram e 500 mil posts no LinkedIn, volume inviável nos processos manuais anteriores. A redução do tempo de identificação de temas críticos passou de dias para minutos, possibilitando respostas estratégicas proativas. Hoje, 39 usuários ativos na companhia criaram mais de </w:t>
      </w:r>
      <w:r>
        <w:t xml:space="preserve">104 painéis analíticos customizados, democratizando o acesso a </w:t>
      </w:r>
      <w:r>
        <w:rPr>
          <w:i/>
          <w:iCs/>
        </w:rPr>
        <w:t xml:space="preserve">insights </w:t>
      </w:r>
      <w:r>
        <w:t>estratégicos antes limitados a pequenos grupos de especialistas.</w:t>
      </w:r>
    </w:p>
    <w:p w14:paraId="1B995B6D" w14:textId="77777777" w:rsidR="00BC73F6" w:rsidRDefault="00D565C5">
      <w:pPr>
        <w:spacing w:before="120" w:after="120"/>
        <w:ind w:firstLine="709"/>
      </w:pPr>
      <w:r>
        <w:t xml:space="preserve">No âmbito interno, a solução fomentou uma cultura </w:t>
      </w:r>
      <w:r>
        <w:rPr>
          <w:i/>
          <w:iCs/>
        </w:rPr>
        <w:t>data-driven</w:t>
      </w:r>
      <w:r>
        <w:t xml:space="preserve"> entre equipes de comunicação e relações institucionais e possui um </w:t>
      </w:r>
      <w:r>
        <w:rPr>
          <w:i/>
          <w:iCs/>
        </w:rPr>
        <w:t>roadmap</w:t>
      </w:r>
      <w:r>
        <w:t xml:space="preserve"> para </w:t>
      </w:r>
      <w:r>
        <w:t>expansão interna em outras áreas interessadas em adotar a solução. O êxito do projeto também estabeleceu novo paradigma para iniciativas de open innovation na companhia, consolidando-se como caso de referência para futuros desafios tecnológicos e reforçando o valor da colaboração entre grandes corporações e o ecossistema de startups para resolver problemas complexos do setor energético.</w:t>
      </w:r>
    </w:p>
    <w:p w14:paraId="1B995B6E" w14:textId="77777777" w:rsidR="00BC73F6" w:rsidRDefault="00BC73F6">
      <w:pPr>
        <w:spacing w:before="120" w:after="120"/>
      </w:pPr>
    </w:p>
    <w:p w14:paraId="1B995B6F" w14:textId="77777777" w:rsidR="00BC73F6" w:rsidRDefault="00D565C5">
      <w:pPr>
        <w:spacing w:before="120" w:after="120"/>
        <w:rPr>
          <w:b/>
        </w:rPr>
      </w:pPr>
      <w:r>
        <w:rPr>
          <w:b/>
        </w:rPr>
        <w:t>4. CONTRIBUIÇÕES</w:t>
      </w:r>
    </w:p>
    <w:p w14:paraId="1B995B70" w14:textId="77777777" w:rsidR="00BC73F6" w:rsidRDefault="00D565C5">
      <w:pPr>
        <w:spacing w:before="120" w:after="120"/>
        <w:ind w:firstLine="709"/>
      </w:pPr>
      <w:r>
        <w:t>A implementação da plataforma de monitoramento baseada em agentes de inteligência artificial gerou contribuições multidimensionais, cujos impactos transcendem os limites organizacionais da Petrobras.</w:t>
      </w:r>
    </w:p>
    <w:p w14:paraId="1B995B71" w14:textId="77777777" w:rsidR="00BC73F6" w:rsidRDefault="00D565C5">
      <w:pPr>
        <w:spacing w:before="120" w:after="120"/>
        <w:ind w:firstLine="709"/>
      </w:pPr>
      <w:r>
        <w:t xml:space="preserve"> </w:t>
      </w:r>
    </w:p>
    <w:p w14:paraId="1B995B72" w14:textId="77777777" w:rsidR="00BC73F6" w:rsidRDefault="00D565C5">
      <w:pPr>
        <w:spacing w:before="120" w:after="120"/>
        <w:ind w:firstLine="709"/>
      </w:pPr>
      <w:r>
        <w:t>Contribuições econômicas</w:t>
      </w:r>
    </w:p>
    <w:p w14:paraId="1B995B73" w14:textId="77777777" w:rsidR="00BC73F6" w:rsidRDefault="00D565C5">
      <w:pPr>
        <w:spacing w:before="120" w:after="120"/>
        <w:ind w:firstLine="709"/>
      </w:pPr>
      <w:r>
        <w:t xml:space="preserve">A solução proporcionou expressiva redução na carga de trabalho manual, com economia de horas-homem anuais anteriormente dedicadas à coleta, organização e análise de informações dispersas. Processos que demandavam equipes dedicadas durante dias completos para compilação de relatórios específicos agora são executados em minutos pelos agentes de IA. Esta otimização permite realocar capital humano especializado para atividades de maior valor agregado, como análise estratégica e relacionamento direto com </w:t>
      </w:r>
      <w:r>
        <w:rPr>
          <w:i/>
          <w:iCs/>
        </w:rPr>
        <w:t xml:space="preserve">stakeholders </w:t>
      </w:r>
      <w:r>
        <w:t>críticos. A capacidade de antecipação a riscos emergentes e identificação precoce de oportunidades, embora de difícil mensuração financeira imediata, representa potencial econômico significativo para uma companhia cujas decisões envolvem investimentos bilionários.</w:t>
      </w:r>
    </w:p>
    <w:p w14:paraId="1B995B74" w14:textId="77777777" w:rsidR="00BC73F6" w:rsidRDefault="00D565C5">
      <w:pPr>
        <w:spacing w:before="120" w:after="120"/>
        <w:ind w:firstLine="709"/>
      </w:pPr>
      <w:r>
        <w:t xml:space="preserve"> </w:t>
      </w:r>
    </w:p>
    <w:p w14:paraId="1B995B75" w14:textId="77777777" w:rsidR="00BC73F6" w:rsidRDefault="00D565C5">
      <w:pPr>
        <w:spacing w:before="120" w:after="120"/>
        <w:ind w:firstLine="709"/>
      </w:pPr>
      <w:r>
        <w:t>Contribuições sociais</w:t>
      </w:r>
    </w:p>
    <w:p w14:paraId="1B995B76" w14:textId="77777777" w:rsidR="00BC73F6" w:rsidRDefault="00D565C5">
      <w:pPr>
        <w:spacing w:before="120" w:after="120"/>
        <w:ind w:firstLine="709"/>
      </w:pPr>
      <w:r>
        <w:t xml:space="preserve">A iniciativa fortalece o ecossistema brasileiro de inovação, como modelo colaborativo entre grande corporação e startups nacionais em segmento tecnológico de fronteira. O </w:t>
      </w:r>
      <w:r>
        <w:lastRenderedPageBreak/>
        <w:t>consórcio com a empresa alemã Agents promoveu intercâmbio tecnológico e metodológico relevante. Este intercâmbio bilateral não se limitou à transferência de tecnologia, mas estabeleceu fluxo bidirecional de conhecimento, com contribuições brasileiras significativas em aspectos como a compreensão de dinâmicas socioculturais específicas do mercado latino-americano ampliando horizontes para futuros desenvolvimentos conjuntos.</w:t>
      </w:r>
    </w:p>
    <w:p w14:paraId="1B995B77" w14:textId="77777777" w:rsidR="00BC73F6" w:rsidRDefault="00D565C5">
      <w:pPr>
        <w:spacing w:before="120" w:after="120"/>
        <w:ind w:firstLine="709"/>
      </w:pPr>
      <w:r>
        <w:t xml:space="preserve"> </w:t>
      </w:r>
    </w:p>
    <w:p w14:paraId="1B995B78" w14:textId="77777777" w:rsidR="00BC73F6" w:rsidRDefault="00D565C5">
      <w:pPr>
        <w:spacing w:before="120" w:after="120"/>
        <w:ind w:firstLine="709"/>
      </w:pPr>
      <w:r>
        <w:t>Contribuições ambientais</w:t>
      </w:r>
    </w:p>
    <w:p w14:paraId="1B995B79" w14:textId="77777777" w:rsidR="00BC73F6" w:rsidRDefault="00D565C5">
      <w:pPr>
        <w:spacing w:before="120" w:after="120"/>
        <w:ind w:firstLine="709"/>
      </w:pPr>
      <w:r>
        <w:t xml:space="preserve">O uso da solução para monitoramento de questões ambientais permite resposta mais ágil a incidentes e maior transparência na comunicação com órgãos reguladores. O suporte à tomada de decisão em projetos de transição energética representa contribuição indireta à agenda ambiental, fornecendo </w:t>
      </w:r>
      <w:r>
        <w:rPr>
          <w:i/>
          <w:iCs/>
        </w:rPr>
        <w:t xml:space="preserve">insights </w:t>
      </w:r>
      <w:r>
        <w:t xml:space="preserve">que auxiliam no posicionamento estratégico da companhia frente à transição energética. </w:t>
      </w:r>
    </w:p>
    <w:p w14:paraId="1B995B7A" w14:textId="77777777" w:rsidR="00BC73F6" w:rsidRDefault="00D565C5">
      <w:pPr>
        <w:spacing w:before="120" w:after="120"/>
        <w:ind w:firstLine="709"/>
        <w:jc w:val="left"/>
      </w:pPr>
      <w:r>
        <w:t xml:space="preserve"> </w:t>
      </w:r>
    </w:p>
    <w:p w14:paraId="1B995B7B" w14:textId="77777777" w:rsidR="00BC73F6" w:rsidRDefault="00D565C5">
      <w:pPr>
        <w:spacing w:before="120" w:after="120"/>
        <w:ind w:firstLine="709"/>
        <w:jc w:val="left"/>
      </w:pPr>
      <w:r>
        <w:t>Contribuições tecnológicas</w:t>
      </w:r>
    </w:p>
    <w:p w14:paraId="1B995B7C" w14:textId="77777777" w:rsidR="00BC73F6" w:rsidRDefault="00D565C5">
      <w:pPr>
        <w:spacing w:before="120" w:after="120"/>
        <w:ind w:firstLine="709"/>
        <w:jc w:val="left"/>
      </w:pPr>
      <w:r>
        <w:t xml:space="preserve"> Com o trabalho colaborativo, o produto inicial obteve melhorias significativas nas interfaces com usuários (UX), novas estruturas de </w:t>
      </w:r>
      <w:r>
        <w:rPr>
          <w:i/>
          <w:iCs/>
        </w:rPr>
        <w:t>frontend</w:t>
      </w:r>
      <w:r>
        <w:t xml:space="preserve"> que permitem a navegação eficiente por milhões de entradas de dados e a concepção e implementação de um novo agente de inteligência artificial, anteriormente inexistentes no modelo de negócios das empresas do consórcio. Esta solução inovadora foi direcionada ao atendimento das demandas específicas da Petrobras e apresenta potencial de incorporação ao portfólio tecnológico das startups envolvidas.</w:t>
      </w:r>
    </w:p>
    <w:p w14:paraId="1B995B7D" w14:textId="77777777" w:rsidR="00BC73F6" w:rsidRDefault="00D565C5">
      <w:pPr>
        <w:spacing w:before="120" w:after="120"/>
        <w:ind w:firstLine="709"/>
      </w:pPr>
      <w:r>
        <w:t>A arquitetura modular estabelece novo paradigma para sistemas corporativos de inteligência estratégica, combinando técnicas avançadas de aprendizado de máquina com interfaces intuitivas acessíveis a usuários não técnicos.</w:t>
      </w:r>
    </w:p>
    <w:p w14:paraId="1B995B7E" w14:textId="77777777" w:rsidR="00BC73F6" w:rsidRDefault="00D565C5">
      <w:pPr>
        <w:spacing w:before="120" w:after="120"/>
        <w:ind w:firstLine="709"/>
        <w:jc w:val="left"/>
      </w:pPr>
      <w:r>
        <w:t xml:space="preserve"> </w:t>
      </w:r>
    </w:p>
    <w:p w14:paraId="1B995B7F" w14:textId="77777777" w:rsidR="00BC73F6" w:rsidRDefault="00D565C5">
      <w:pPr>
        <w:spacing w:before="120" w:after="120"/>
        <w:ind w:firstLine="709"/>
        <w:jc w:val="left"/>
      </w:pPr>
      <w:r>
        <w:t>Contribuições práticas-gerenciais</w:t>
      </w:r>
    </w:p>
    <w:p w14:paraId="1B995B80" w14:textId="77777777" w:rsidR="00BC73F6" w:rsidRDefault="00D565C5">
      <w:pPr>
        <w:spacing w:before="120" w:after="120"/>
        <w:ind w:firstLine="709"/>
      </w:pPr>
      <w:r>
        <w:t xml:space="preserve">A transformação nos processos decisórios materializou-se na integração efetiva de dados anteriormente dispersos em múltiplos sistemas corporativos. A plataforma estabelece linguagem comum entre atividades historicamente isoladas como comunicação, relações institucionais e inteligência competitiva, unificando métricas e taxonomias. Esta integração reduziu significativamente redundâncias analíticas e possibilitou visão holística sobre temas críticos. </w:t>
      </w:r>
    </w:p>
    <w:p w14:paraId="1B995B81" w14:textId="77777777" w:rsidR="00BC73F6" w:rsidRDefault="00D565C5">
      <w:pPr>
        <w:spacing w:before="120" w:after="120"/>
        <w:ind w:firstLine="709"/>
      </w:pPr>
      <w:r>
        <w:t>A geração automática de relatórios analíticos permitiu que líderes recebam em minutos análises que antes demorariam dias, gerando ganhos reais em agilidade na tomada de decisão.</w:t>
      </w:r>
    </w:p>
    <w:p w14:paraId="1B995B82" w14:textId="77777777" w:rsidR="00BC73F6" w:rsidRDefault="00D565C5">
      <w:pPr>
        <w:spacing w:before="120" w:after="120"/>
        <w:ind w:firstLine="709"/>
      </w:pPr>
      <w:r>
        <w:t>O modelo implementado de governança compartilhada para gestão da plataforma também inovou ao estabelecer comitê multidisciplinar, garantindo alinhamento contínuo entre desenvolvimento tecnológico e necessidades do negócio.</w:t>
      </w:r>
    </w:p>
    <w:p w14:paraId="1B995B83" w14:textId="77777777" w:rsidR="00BC73F6" w:rsidRDefault="00BC73F6">
      <w:pPr>
        <w:spacing w:before="120" w:after="120"/>
        <w:ind w:left="2160" w:firstLine="720"/>
        <w:rPr>
          <w:b/>
          <w:bCs/>
        </w:rPr>
      </w:pPr>
    </w:p>
    <w:p w14:paraId="1B995B84" w14:textId="77777777" w:rsidR="00BC73F6" w:rsidRDefault="00D565C5">
      <w:pPr>
        <w:spacing w:before="120" w:after="120"/>
        <w:ind w:left="2160" w:firstLine="720"/>
      </w:pPr>
      <w:r>
        <w:rPr>
          <w:b/>
          <w:bCs/>
        </w:rPr>
        <w:t>AGRADECIMENTOS</w:t>
      </w:r>
    </w:p>
    <w:p w14:paraId="1B995B85" w14:textId="77777777" w:rsidR="00BC73F6" w:rsidRDefault="00D565C5">
      <w:pPr>
        <w:spacing w:before="120" w:after="120"/>
      </w:pPr>
      <w:r>
        <w:lastRenderedPageBreak/>
        <w:t>Agradecemos às equipes das áreas de Tecnologia da Informação e Telecomunicações (TIC), Relacionamento Institucional, Comunicação, Transformação Digital e Suprimentos envolvidas no projeto de desenvolvimento e na contratação da solução, em especial ao representante do projeto na TIC, Denis Alves Duarte. Agradecemos também às Startups Agents.com e NeoPTO pela intensa parceria, em especial aos CEOs Sebastian Denef e Fábio Groff.</w:t>
      </w:r>
    </w:p>
    <w:p w14:paraId="1B995B86" w14:textId="77777777" w:rsidR="00BC73F6" w:rsidRDefault="00BC73F6">
      <w:pPr>
        <w:spacing w:before="120" w:after="120"/>
      </w:pPr>
    </w:p>
    <w:p w14:paraId="1B995B87" w14:textId="77777777" w:rsidR="00BC73F6" w:rsidRDefault="00BC73F6">
      <w:pPr>
        <w:pStyle w:val="Standard"/>
        <w:spacing w:before="120" w:after="120"/>
        <w:jc w:val="center"/>
      </w:pPr>
    </w:p>
    <w:sectPr w:rsidR="00BC73F6">
      <w:headerReference w:type="default" r:id="rId7"/>
      <w:footerReference w:type="even" r:id="rId8"/>
      <w:footerReference w:type="default" r:id="rId9"/>
      <w:headerReference w:type="first" r:id="rId10"/>
      <w:footerReference w:type="first" r:id="rId11"/>
      <w:pgSz w:w="11906" w:h="16838"/>
      <w:pgMar w:top="1701" w:right="1134" w:bottom="1134" w:left="1701" w:header="0"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95B46" w14:textId="77777777" w:rsidR="00D565C5" w:rsidRDefault="00D565C5">
      <w:r>
        <w:separator/>
      </w:r>
    </w:p>
  </w:endnote>
  <w:endnote w:type="continuationSeparator" w:id="0">
    <w:p w14:paraId="1B995B48" w14:textId="77777777" w:rsidR="00D565C5" w:rsidRDefault="00D56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inux Libertine G">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CBC49" w14:textId="3385842D" w:rsidR="00D565C5" w:rsidRDefault="00D565C5">
    <w:pPr>
      <w:pStyle w:val="Rodap"/>
    </w:pPr>
    <w:r>
      <w:rPr>
        <w:noProof/>
      </w:rPr>
      <mc:AlternateContent>
        <mc:Choice Requires="wps">
          <w:drawing>
            <wp:anchor distT="0" distB="0" distL="0" distR="0" simplePos="0" relativeHeight="251659264" behindDoc="0" locked="0" layoutInCell="1" allowOverlap="1" wp14:anchorId="242C8572" wp14:editId="08D352E2">
              <wp:simplePos x="635" y="635"/>
              <wp:positionH relativeFrom="page">
                <wp:align>left</wp:align>
              </wp:positionH>
              <wp:positionV relativeFrom="page">
                <wp:align>bottom</wp:align>
              </wp:positionV>
              <wp:extent cx="682625" cy="323215"/>
              <wp:effectExtent l="0" t="0" r="3175" b="0"/>
              <wp:wrapNone/>
              <wp:docPr id="1385278101" name="Caixa de Texto 2" descr="PÚBLICA">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82625" cy="323215"/>
                      </a:xfrm>
                      <a:prstGeom prst="rect">
                        <a:avLst/>
                      </a:prstGeom>
                      <a:noFill/>
                      <a:ln>
                        <a:noFill/>
                      </a:ln>
                    </wps:spPr>
                    <wps:txbx>
                      <w:txbxContent>
                        <w:p w14:paraId="7B4D4649" w14:textId="5E8E5AAD" w:rsidR="00D565C5" w:rsidRPr="00D565C5" w:rsidRDefault="00D565C5" w:rsidP="00D565C5">
                          <w:pPr>
                            <w:rPr>
                              <w:rFonts w:ascii="Trebuchet MS" w:eastAsia="Trebuchet MS" w:hAnsi="Trebuchet MS" w:cs="Trebuchet MS"/>
                              <w:noProof/>
                              <w:color w:val="737373"/>
                              <w:sz w:val="18"/>
                              <w:szCs w:val="18"/>
                            </w:rPr>
                          </w:pPr>
                          <w:r w:rsidRPr="00D565C5">
                            <w:rPr>
                              <w:rFonts w:ascii="Trebuchet MS" w:eastAsia="Trebuchet MS" w:hAnsi="Trebuchet MS" w:cs="Trebuchet MS"/>
                              <w:noProof/>
                              <w:color w:val="737373"/>
                              <w:sz w:val="18"/>
                              <w:szCs w:val="18"/>
                            </w:rPr>
                            <w:t>PÚBLICA</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42C8572" id="_x0000_t202" coordsize="21600,21600" o:spt="202" path="m,l,21600r21600,l21600,xe">
              <v:stroke joinstyle="miter"/>
              <v:path gradientshapeok="t" o:connecttype="rect"/>
            </v:shapetype>
            <v:shape id="Caixa de Texto 2" o:spid="_x0000_s1026" type="#_x0000_t202" alt="PÚBLICA" style="position:absolute;left:0;text-align:left;margin-left:0;margin-top:0;width:53.75pt;height:25.4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QWMEQIAACEEAAAOAAAAZHJzL2Uyb0RvYy54bWysU01v2zAMvQ/YfxB0X+y4S9AZcYqsRYYB&#10;QVsgHXpWZCk2IImCpMTOfv0o2Um6bqdhF5kiaX6897S467UiR+F8C6ai00lOiTAc6tbsK/rjZf3p&#10;lhIfmKmZAiMqehKe3i0/flh0thQFNKBq4QgWMb7sbEWbEGyZZZ43QjM/ASsMBiU4zQJe3T6rHeuw&#10;ulZZkefzrANXWwdceI/ehyFIl6m+lIKHJym9CERVFGcL6XTp3MUzWy5YuXfMNi0fx2D/MIVmrcGm&#10;l1IPLDBycO0fpXTLHXiQYcJBZyBly0XaAbeZ5u+22TbMirQLguPtBSb//8ryx+PWPjsS+q/QI4ER&#10;kM760qMz7tNLp+MXJyUYRwhPF9hEHwhH5/y2mBczSjiGboqbYjqLVbLrz9b58E2AJtGoqENWEljs&#10;uPFhSD2nxF4G1q1SiRllfnNgzejJrhNGK/S7nrT1m+l3UJ9wKQcD397ydYutN8yHZ+aQYNwDRRue&#10;8JAKuorCaFHSgPv5N3/MR9wxSkmHgqmoQUVTor4b5KOYfc7zKLB0Q8OdjV0ypl/yWYybg74H1OIU&#10;n4XlyYzJQZ1N6UC/oqZXsRuGmOHYs6K7s3kfBvnim+BitUpJqCXLwsZsLY+lI2YR0Jf+lTk7oh6Q&#10;rkc4S4qV78AfcuOf3q4OASlIzER8BzRH2FGHidvxzUShv72nrOvLXv4CAAD//wMAUEsDBBQABgAI&#10;AAAAIQApq5F72gAAAAQBAAAPAAAAZHJzL2Rvd25yZXYueG1sTI/NTsMwEITvSLyDtUjcqE2lBhri&#10;VBV/4kpAokcn3sZR490Qu214e1wu5bLSaEYz3xaryffigGPomDTczhQIpIZtR62Gz4+Xm3sQIRqy&#10;pmdCDT8YYFVeXhQmt3ykdzxUsRWphEJuNLgYh1zK0Dj0Jsx4QErelkdvYpJjK+1ojqnc93KuVCa9&#10;6SgtODPgo8NmV+29huzpde2Gr2zzvZ2Ht1DzLlb8rPX11bR+ABFxiucwnPATOpSJqeY92SB6DemR&#10;+HdPnrpbgKg1LNQSZFnI//DlLwAAAP//AwBQSwECLQAUAAYACAAAACEAtoM4kv4AAADhAQAAEwAA&#10;AAAAAAAAAAAAAAAAAAAAW0NvbnRlbnRfVHlwZXNdLnhtbFBLAQItABQABgAIAAAAIQA4/SH/1gAA&#10;AJQBAAALAAAAAAAAAAAAAAAAAC8BAABfcmVscy8ucmVsc1BLAQItABQABgAIAAAAIQAShQWMEQIA&#10;ACEEAAAOAAAAAAAAAAAAAAAAAC4CAABkcnMvZTJvRG9jLnhtbFBLAQItABQABgAIAAAAIQApq5F7&#10;2gAAAAQBAAAPAAAAAAAAAAAAAAAAAGsEAABkcnMvZG93bnJldi54bWxQSwUGAAAAAAQABADzAAAA&#10;cgUAAAAA&#10;" filled="f" stroked="f">
              <v:fill o:detectmouseclick="t"/>
              <v:textbox style="mso-fit-shape-to-text:t" inset="20pt,0,0,15pt">
                <w:txbxContent>
                  <w:p w14:paraId="7B4D4649" w14:textId="5E8E5AAD" w:rsidR="00D565C5" w:rsidRPr="00D565C5" w:rsidRDefault="00D565C5" w:rsidP="00D565C5">
                    <w:pPr>
                      <w:rPr>
                        <w:rFonts w:ascii="Trebuchet MS" w:eastAsia="Trebuchet MS" w:hAnsi="Trebuchet MS" w:cs="Trebuchet MS"/>
                        <w:noProof/>
                        <w:color w:val="737373"/>
                        <w:sz w:val="18"/>
                        <w:szCs w:val="18"/>
                      </w:rPr>
                    </w:pPr>
                    <w:r w:rsidRPr="00D565C5">
                      <w:rPr>
                        <w:rFonts w:ascii="Trebuchet MS" w:eastAsia="Trebuchet MS" w:hAnsi="Trebuchet MS" w:cs="Trebuchet MS"/>
                        <w:noProof/>
                        <w:color w:val="737373"/>
                        <w:sz w:val="18"/>
                        <w:szCs w:val="18"/>
                      </w:rPr>
                      <w:t>PÚBLICA</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95B4C" w14:textId="0248A29E" w:rsidR="00D565C5" w:rsidRDefault="00D565C5">
    <w:pPr>
      <w:pStyle w:val="Standard"/>
      <w:widowControl/>
      <w:tabs>
        <w:tab w:val="center" w:pos="4252"/>
        <w:tab w:val="right" w:pos="8504"/>
      </w:tabs>
      <w:jc w:val="right"/>
    </w:pPr>
    <w:r>
      <w:rPr>
        <w:noProof/>
      </w:rPr>
      <mc:AlternateContent>
        <mc:Choice Requires="wps">
          <w:drawing>
            <wp:anchor distT="0" distB="0" distL="0" distR="0" simplePos="0" relativeHeight="251660288" behindDoc="0" locked="0" layoutInCell="1" allowOverlap="1" wp14:anchorId="37933122" wp14:editId="48523200">
              <wp:simplePos x="1080770" y="9881235"/>
              <wp:positionH relativeFrom="page">
                <wp:align>left</wp:align>
              </wp:positionH>
              <wp:positionV relativeFrom="page">
                <wp:align>bottom</wp:align>
              </wp:positionV>
              <wp:extent cx="682625" cy="323215"/>
              <wp:effectExtent l="0" t="0" r="3175" b="0"/>
              <wp:wrapNone/>
              <wp:docPr id="498412950" name="Caixa de Texto 3" descr="PÚBLICA">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82625" cy="323215"/>
                      </a:xfrm>
                      <a:prstGeom prst="rect">
                        <a:avLst/>
                      </a:prstGeom>
                      <a:noFill/>
                      <a:ln>
                        <a:noFill/>
                      </a:ln>
                    </wps:spPr>
                    <wps:txbx>
                      <w:txbxContent>
                        <w:p w14:paraId="4F5E1FE9" w14:textId="68FB1E1C" w:rsidR="00D565C5" w:rsidRPr="00D565C5" w:rsidRDefault="00D565C5" w:rsidP="00D565C5">
                          <w:pPr>
                            <w:rPr>
                              <w:rFonts w:ascii="Trebuchet MS" w:eastAsia="Trebuchet MS" w:hAnsi="Trebuchet MS" w:cs="Trebuchet MS"/>
                              <w:noProof/>
                              <w:color w:val="737373"/>
                              <w:sz w:val="18"/>
                              <w:szCs w:val="18"/>
                            </w:rPr>
                          </w:pPr>
                          <w:r w:rsidRPr="00D565C5">
                            <w:rPr>
                              <w:rFonts w:ascii="Trebuchet MS" w:eastAsia="Trebuchet MS" w:hAnsi="Trebuchet MS" w:cs="Trebuchet MS"/>
                              <w:noProof/>
                              <w:color w:val="737373"/>
                              <w:sz w:val="18"/>
                              <w:szCs w:val="18"/>
                            </w:rPr>
                            <w:t>PÚBLICA</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7933122" id="_x0000_t202" coordsize="21600,21600" o:spt="202" path="m,l,21600r21600,l21600,xe">
              <v:stroke joinstyle="miter"/>
              <v:path gradientshapeok="t" o:connecttype="rect"/>
            </v:shapetype>
            <v:shape id="Caixa de Texto 3" o:spid="_x0000_s1027" type="#_x0000_t202" alt="PÚBLICA" style="position:absolute;left:0;text-align:left;margin-left:0;margin-top:0;width:53.75pt;height:25.4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bOEwIAACEEAAAOAAAAZHJzL2Uyb0RvYy54bWysU01v2zAMvQ/YfxB0X+y4S9AacYqsRYYB&#10;QVsgHXpWZCk2IImCpMTOfv0oOU62bqdhF5kiaX6897S477UiR+F8C6ai00lOiTAc6tbsK/r9df3p&#10;lhIfmKmZAiMqehKe3i8/flh0thQFNKBq4QgWMb7sbEWbEGyZZZ43QjM/ASsMBiU4zQJe3T6rHeuw&#10;ulZZkefzrANXWwdceI/exyFIl6m+lIKHZym9CERVFGcL6XTp3MUzWy5YuXfMNi0/j8H+YQrNWoNN&#10;L6UeWWDk4No/SumWO/Agw4SDzkDKlou0A24zzd9ts22YFWkXBMfbC0z+/5XlT8etfXEk9F+gRwIj&#10;IJ31pUdn3KeXTscvTkowjhCeLrCJPhCOzvltMS9mlHAM3RQ3xXQWq2TXn63z4asATaJRUYesJLDY&#10;cePDkDqmxF4G1q1SiRllfnNgzejJrhNGK/S7nrR1RYtx+h3UJ1zKwcC3t3zdYusN8+GFOSQY90DR&#10;hmc8pIKuonC2KGnA/fibP+Yj7hilpEPBVNSgoilR3wzyUcw+53kUWLqh4UZjl4zpXT6LcXPQD4Ba&#10;nOKzsDyZMTmo0ZQO9BtqehW7YYgZjj0ruhvNhzDIF98EF6tVSkItWRY2Zmt5LB0xi4C+9m/M2TPq&#10;Ael6glFSrHwH/pAb//R2dQhIQWIm4jugeYYddZi4Pb+ZKPRf7ynr+rKXPwEAAP//AwBQSwMEFAAG&#10;AAgAAAAhACmrkXvaAAAABAEAAA8AAABkcnMvZG93bnJldi54bWxMj81OwzAQhO9IvIO1SNyoTaUG&#10;GuJUFX/iSkCiRyfexlHj3RC7bXh7XC7lstJoRjPfFqvJ9+KAY+iYNNzOFAikhm1HrYbPj5ebexAh&#10;GrKmZ0INPxhgVV5eFCa3fKR3PFSxFamEQm40uBiHXMrQOPQmzHhASt6WR29ikmMr7WiOqdz3cq5U&#10;Jr3pKC04M+Cjw2ZX7b2G7Ol17YavbPO9nYe3UPMuVvys9fXVtH4AEXGK5zCc8BM6lImp5j3ZIHoN&#10;6ZH4d0+euluAqDUs1BJkWcj/8OUvAAAA//8DAFBLAQItABQABgAIAAAAIQC2gziS/gAAAOEBAAAT&#10;AAAAAAAAAAAAAAAAAAAAAABbQ29udGVudF9UeXBlc10ueG1sUEsBAi0AFAAGAAgAAAAhADj9If/W&#10;AAAAlAEAAAsAAAAAAAAAAAAAAAAALwEAAF9yZWxzLy5yZWxzUEsBAi0AFAAGAAgAAAAhAEMT9s4T&#10;AgAAIQQAAA4AAAAAAAAAAAAAAAAALgIAAGRycy9lMm9Eb2MueG1sUEsBAi0AFAAGAAgAAAAhACmr&#10;kXvaAAAABAEAAA8AAAAAAAAAAAAAAAAAbQQAAGRycy9kb3ducmV2LnhtbFBLBQYAAAAABAAEAPMA&#10;AAB0BQAAAAA=&#10;" filled="f" stroked="f">
              <v:fill o:detectmouseclick="t"/>
              <v:textbox style="mso-fit-shape-to-text:t" inset="20pt,0,0,15pt">
                <w:txbxContent>
                  <w:p w14:paraId="4F5E1FE9" w14:textId="68FB1E1C" w:rsidR="00D565C5" w:rsidRPr="00D565C5" w:rsidRDefault="00D565C5" w:rsidP="00D565C5">
                    <w:pPr>
                      <w:rPr>
                        <w:rFonts w:ascii="Trebuchet MS" w:eastAsia="Trebuchet MS" w:hAnsi="Trebuchet MS" w:cs="Trebuchet MS"/>
                        <w:noProof/>
                        <w:color w:val="737373"/>
                        <w:sz w:val="18"/>
                        <w:szCs w:val="18"/>
                      </w:rPr>
                    </w:pPr>
                    <w:r w:rsidRPr="00D565C5">
                      <w:rPr>
                        <w:rFonts w:ascii="Trebuchet MS" w:eastAsia="Trebuchet MS" w:hAnsi="Trebuchet MS" w:cs="Trebuchet MS"/>
                        <w:noProof/>
                        <w:color w:val="737373"/>
                        <w:sz w:val="18"/>
                        <w:szCs w:val="18"/>
                      </w:rPr>
                      <w:t>PÚBLICA</w:t>
                    </w:r>
                  </w:p>
                </w:txbxContent>
              </v:textbox>
              <w10:wrap anchorx="page" anchory="page"/>
            </v:shape>
          </w:pict>
        </mc:Fallback>
      </mc:AlternateContent>
    </w:r>
    <w:r>
      <w:fldChar w:fldCharType="begin"/>
    </w:r>
    <w:r>
      <w:instrText xml:space="preserve"> PAGE </w:instrText>
    </w:r>
    <w:r>
      <w:fldChar w:fldCharType="separate"/>
    </w:r>
    <w:r>
      <w:t>0</w:t>
    </w:r>
    <w:r>
      <w:fldChar w:fldCharType="end"/>
    </w:r>
  </w:p>
  <w:p w14:paraId="1B995B4D" w14:textId="77777777" w:rsidR="00D565C5" w:rsidRDefault="00D565C5">
    <w:pPr>
      <w:pStyle w:val="Standard"/>
      <w:widowControl/>
      <w:tabs>
        <w:tab w:val="center" w:pos="4252"/>
        <w:tab w:val="right" w:pos="8504"/>
      </w:tabs>
      <w:rPr>
        <w:rFonts w:ascii="Times New Roman" w:eastAsia="Times New Roman" w:hAnsi="Times New Roman" w:cs="Times New Roman"/>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95B51" w14:textId="356D392F" w:rsidR="00D565C5" w:rsidRDefault="00D565C5">
    <w:pPr>
      <w:pStyle w:val="Standard"/>
      <w:widowControl/>
      <w:tabs>
        <w:tab w:val="center" w:pos="4252"/>
        <w:tab w:val="right" w:pos="8504"/>
      </w:tabs>
      <w:jc w:val="right"/>
    </w:pPr>
    <w:r>
      <w:rPr>
        <w:noProof/>
      </w:rPr>
      <mc:AlternateContent>
        <mc:Choice Requires="wps">
          <w:drawing>
            <wp:anchor distT="0" distB="0" distL="0" distR="0" simplePos="0" relativeHeight="251658240" behindDoc="0" locked="0" layoutInCell="1" allowOverlap="1" wp14:anchorId="3A377D97" wp14:editId="16B8CA6B">
              <wp:simplePos x="1078992" y="9881616"/>
              <wp:positionH relativeFrom="page">
                <wp:align>left</wp:align>
              </wp:positionH>
              <wp:positionV relativeFrom="page">
                <wp:align>bottom</wp:align>
              </wp:positionV>
              <wp:extent cx="682625" cy="323215"/>
              <wp:effectExtent l="0" t="0" r="3175" b="0"/>
              <wp:wrapNone/>
              <wp:docPr id="153237514" name="Caixa de Texto 1" descr="PÚBLICA">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82625" cy="323215"/>
                      </a:xfrm>
                      <a:prstGeom prst="rect">
                        <a:avLst/>
                      </a:prstGeom>
                      <a:noFill/>
                      <a:ln>
                        <a:noFill/>
                      </a:ln>
                    </wps:spPr>
                    <wps:txbx>
                      <w:txbxContent>
                        <w:p w14:paraId="5EB1A099" w14:textId="5F6AFB20" w:rsidR="00D565C5" w:rsidRPr="00D565C5" w:rsidRDefault="00D565C5" w:rsidP="00D565C5">
                          <w:pPr>
                            <w:rPr>
                              <w:rFonts w:ascii="Trebuchet MS" w:eastAsia="Trebuchet MS" w:hAnsi="Trebuchet MS" w:cs="Trebuchet MS"/>
                              <w:noProof/>
                              <w:color w:val="737373"/>
                              <w:sz w:val="18"/>
                              <w:szCs w:val="18"/>
                            </w:rPr>
                          </w:pPr>
                          <w:r w:rsidRPr="00D565C5">
                            <w:rPr>
                              <w:rFonts w:ascii="Trebuchet MS" w:eastAsia="Trebuchet MS" w:hAnsi="Trebuchet MS" w:cs="Trebuchet MS"/>
                              <w:noProof/>
                              <w:color w:val="737373"/>
                              <w:sz w:val="18"/>
                              <w:szCs w:val="18"/>
                            </w:rPr>
                            <w:t>PÚBLICA</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A377D97" id="_x0000_t202" coordsize="21600,21600" o:spt="202" path="m,l,21600r21600,l21600,xe">
              <v:stroke joinstyle="miter"/>
              <v:path gradientshapeok="t" o:connecttype="rect"/>
            </v:shapetype>
            <v:shape id="Caixa de Texto 1" o:spid="_x0000_s1028" type="#_x0000_t202" alt="PÚBLICA" style="position:absolute;left:0;text-align:left;margin-left:0;margin-top:0;width:53.75pt;height:25.4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vdyDwIAABoEAAAOAAAAZHJzL2Uyb0RvYy54bWysU8Fu2zAMvQ/YPwi6L3bcJWiNOEXWIsOA&#10;oC2QDj0rshQbkERBUmJnXz9KdpKt22nYRaZI+pF8fFrc91qRo3C+BVPR6SSnRBgOdWv2Ff3+uv50&#10;S4kPzNRMgREVPQlP75cfPyw6W4oCGlC1cARBjC87W9EmBFtmmeeN0MxPwAqDQQlOs4BXt89qxzpE&#10;1yor8nyedeBq64AL79H7OATpMuFLKXh4ltKLQFRFsbeQTpfOXTyz5YKVe8ds0/KxDfYPXWjWGix6&#10;gXpkgZGDa/+A0i134EGGCQedgZQtF2kGnGaav5tm2zAr0ixIjrcXmvz/g+VPx619cST0X6DHBUZC&#10;OutLj844Ty+djl/slGAcKTxdaBN9IByd89tiXswo4Ri6KW6K6SyiZNefrfPhqwBNolFRh1tJZLHj&#10;xoch9ZwSaxlYt0qlzSjzmwMxoye7dhit0O/6se0d1CecxsGwaG/5usWaG+bDC3O4WRwA1Rqe8ZAK&#10;uorCaFHSgPvxN3/MR8IxSkmHSqmoQSlTor4ZXEQx+5znUVnphoY7G7tkTO/yWYybg34AFOEU34Pl&#10;yYzJQZ1N6UC/oZhXsRqGmOFYs6K7s/kQBt3iY+BitUpJKCLLwsZsLY/QkazI5Gv/xpwd6Q64pyc4&#10;a4mV71gfcuOf3q4OAblPK4nEDmyOfKMA01LHxxIV/us9ZV2f9PInAAAA//8DAFBLAwQUAAYACAAA&#10;ACEAKauRe9oAAAAEAQAADwAAAGRycy9kb3ducmV2LnhtbEyPzU7DMBCE70i8g7VI3KhNpQYa4lQV&#10;f+JKQKJHJ97GUePdELtteHtcLuWy0mhGM98Wq8n34oBj6Jg03M4UCKSGbUeths+Pl5t7ECEasqZn&#10;Qg0/GGBVXl4UJrd8pHc8VLEVqYRCbjS4GIdcytA49CbMeEBK3pZHb2KSYyvtaI6p3PdyrlQmveko&#10;LTgz4KPDZlftvYbs6XXthq9s872dh7dQ8y5W/Kz19dW0fgARcYrnMJzwEzqUianmPdkgeg3pkfh3&#10;T566W4CoNSzUEmRZyP/w5S8AAAD//wMAUEsBAi0AFAAGAAgAAAAhALaDOJL+AAAA4QEAABMAAAAA&#10;AAAAAAAAAAAAAAAAAFtDb250ZW50X1R5cGVzXS54bWxQSwECLQAUAAYACAAAACEAOP0h/9YAAACU&#10;AQAACwAAAAAAAAAAAAAAAAAvAQAAX3JlbHMvLnJlbHNQSwECLQAUAAYACAAAACEAFkr3cg8CAAAa&#10;BAAADgAAAAAAAAAAAAAAAAAuAgAAZHJzL2Uyb0RvYy54bWxQSwECLQAUAAYACAAAACEAKauRe9oA&#10;AAAEAQAADwAAAAAAAAAAAAAAAABpBAAAZHJzL2Rvd25yZXYueG1sUEsFBgAAAAAEAAQA8wAAAHAF&#10;AAAAAA==&#10;" filled="f" stroked="f">
              <v:fill o:detectmouseclick="t"/>
              <v:textbox style="mso-fit-shape-to-text:t" inset="20pt,0,0,15pt">
                <w:txbxContent>
                  <w:p w14:paraId="5EB1A099" w14:textId="5F6AFB20" w:rsidR="00D565C5" w:rsidRPr="00D565C5" w:rsidRDefault="00D565C5" w:rsidP="00D565C5">
                    <w:pPr>
                      <w:rPr>
                        <w:rFonts w:ascii="Trebuchet MS" w:eastAsia="Trebuchet MS" w:hAnsi="Trebuchet MS" w:cs="Trebuchet MS"/>
                        <w:noProof/>
                        <w:color w:val="737373"/>
                        <w:sz w:val="18"/>
                        <w:szCs w:val="18"/>
                      </w:rPr>
                    </w:pPr>
                    <w:r w:rsidRPr="00D565C5">
                      <w:rPr>
                        <w:rFonts w:ascii="Trebuchet MS" w:eastAsia="Trebuchet MS" w:hAnsi="Trebuchet MS" w:cs="Trebuchet MS"/>
                        <w:noProof/>
                        <w:color w:val="737373"/>
                        <w:sz w:val="18"/>
                        <w:szCs w:val="18"/>
                      </w:rPr>
                      <w:t>PÚBLICA</w:t>
                    </w:r>
                  </w:p>
                </w:txbxContent>
              </v:textbox>
              <w10:wrap anchorx="page" anchory="page"/>
            </v:shape>
          </w:pict>
        </mc:Fallback>
      </mc:AlternateContent>
    </w:r>
    <w:r>
      <w:fldChar w:fldCharType="begin"/>
    </w:r>
    <w:r>
      <w:instrText xml:space="preserve"> PAGE </w:instrText>
    </w:r>
    <w:r>
      <w:fldChar w:fldCharType="separate"/>
    </w:r>
    <w:r>
      <w:t>2</w:t>
    </w:r>
    <w:r>
      <w:fldChar w:fldCharType="end"/>
    </w:r>
  </w:p>
  <w:p w14:paraId="1B995B52" w14:textId="77777777" w:rsidR="00D565C5" w:rsidRDefault="00D565C5">
    <w:pPr>
      <w:pStyle w:val="Standard"/>
      <w:widowControl/>
      <w:tabs>
        <w:tab w:val="center" w:pos="4252"/>
        <w:tab w:val="right" w:pos="8504"/>
      </w:tabs>
      <w:rPr>
        <w:rFonts w:ascii="Times New Roman" w:eastAsia="Times New Roman" w:hAnsi="Times New Roman" w:cs="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95B42" w14:textId="77777777" w:rsidR="00D565C5" w:rsidRDefault="00D565C5">
      <w:r>
        <w:rPr>
          <w:color w:val="000000"/>
        </w:rPr>
        <w:separator/>
      </w:r>
    </w:p>
  </w:footnote>
  <w:footnote w:type="continuationSeparator" w:id="0">
    <w:p w14:paraId="1B995B44" w14:textId="77777777" w:rsidR="00D565C5" w:rsidRDefault="00D565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95B4A" w14:textId="77777777" w:rsidR="00D565C5" w:rsidRDefault="00D565C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95B4F" w14:textId="77777777" w:rsidR="00D565C5" w:rsidRDefault="00D565C5">
    <w:pPr>
      <w:pStyle w:val="Standard"/>
      <w:widowControl/>
      <w:tabs>
        <w:tab w:val="center" w:pos="2551"/>
        <w:tab w:val="right" w:pos="6803"/>
      </w:tabs>
      <w:ind w:left="-1701"/>
      <w:rPr>
        <w:rFonts w:ascii="Times New Roman" w:eastAsia="Times New Roman" w:hAnsi="Times New Roman" w:cs="Times New Roman"/>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4D1876"/>
    <w:multiLevelType w:val="multilevel"/>
    <w:tmpl w:val="2984F90E"/>
    <w:styleLink w:val="NoList"/>
    <w:lvl w:ilvl="0">
      <w:start w:val="1"/>
      <w:numFmt w:val="none"/>
      <w:lvlText w:val="%1."/>
      <w:lvlJc w:val="left"/>
      <w:pPr>
        <w:ind w:left="720" w:hanging="360"/>
      </w:pPr>
    </w:lvl>
    <w:lvl w:ilvl="1">
      <w:start w:val="1"/>
      <w:numFmt w:val="none"/>
      <w:lvlText w:val="."/>
      <w:lvlJc w:val="left"/>
      <w:pPr>
        <w:ind w:left="1080" w:hanging="360"/>
      </w:pPr>
    </w:lvl>
    <w:lvl w:ilvl="2">
      <w:start w:val="1"/>
      <w:numFmt w:val="none"/>
      <w:lvlText w:val="."/>
      <w:lvlJc w:val="left"/>
      <w:pPr>
        <w:ind w:left="1440" w:hanging="360"/>
      </w:pPr>
    </w:lvl>
    <w:lvl w:ilvl="3">
      <w:start w:val="1"/>
      <w:numFmt w:val="none"/>
      <w:lvlText w:val="."/>
      <w:lvlJc w:val="left"/>
      <w:pPr>
        <w:ind w:left="1800" w:hanging="360"/>
      </w:pPr>
    </w:lvl>
    <w:lvl w:ilvl="4">
      <w:start w:val="1"/>
      <w:numFmt w:val="none"/>
      <w:lvlText w:val="."/>
      <w:lvlJc w:val="left"/>
      <w:pPr>
        <w:ind w:left="2160" w:hanging="360"/>
      </w:pPr>
    </w:lvl>
    <w:lvl w:ilvl="5">
      <w:start w:val="1"/>
      <w:numFmt w:val="none"/>
      <w:lvlText w:val="."/>
      <w:lvlJc w:val="left"/>
      <w:pPr>
        <w:ind w:left="2520" w:hanging="360"/>
      </w:pPr>
    </w:lvl>
    <w:lvl w:ilvl="6">
      <w:start w:val="1"/>
      <w:numFmt w:val="none"/>
      <w:lvlText w:val="."/>
      <w:lvlJc w:val="left"/>
      <w:pPr>
        <w:ind w:left="2880" w:hanging="360"/>
      </w:pPr>
    </w:lvl>
    <w:lvl w:ilvl="7">
      <w:start w:val="1"/>
      <w:numFmt w:val="none"/>
      <w:lvlText w:val="."/>
      <w:lvlJc w:val="left"/>
      <w:pPr>
        <w:ind w:left="3240" w:hanging="360"/>
      </w:pPr>
    </w:lvl>
    <w:lvl w:ilvl="8">
      <w:start w:val="1"/>
      <w:numFmt w:val="none"/>
      <w:lvlText w:val="."/>
      <w:lvlJc w:val="left"/>
      <w:pPr>
        <w:ind w:left="3600" w:hanging="360"/>
      </w:pPr>
    </w:lvl>
  </w:abstractNum>
  <w:num w:numId="1" w16cid:durableId="474834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attachedTemplate r:id="rId1"/>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BC73F6"/>
    <w:rsid w:val="00B3581C"/>
    <w:rsid w:val="00BC73F6"/>
    <w:rsid w:val="00D565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95B42"/>
  <w15:docId w15:val="{51258B99-7AAE-46F8-9298-B6F47AA7E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Linux Libertine G" w:hAnsi="Calibri" w:cs="Linux Libertine G"/>
        <w:sz w:val="24"/>
        <w:szCs w:val="24"/>
        <w:lang w:val="pt-BR"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suppressAutoHyphens/>
      <w:jc w:val="both"/>
    </w:pPr>
  </w:style>
  <w:style w:type="paragraph" w:styleId="Ttulo1">
    <w:name w:val="heading 1"/>
    <w:basedOn w:val="Normal"/>
    <w:next w:val="Standard"/>
    <w:uiPriority w:val="9"/>
    <w:qFormat/>
    <w:pPr>
      <w:keepNext/>
      <w:keepLines/>
      <w:spacing w:before="480" w:after="120"/>
      <w:outlineLvl w:val="0"/>
    </w:pPr>
    <w:rPr>
      <w:b/>
      <w:sz w:val="48"/>
      <w:szCs w:val="48"/>
    </w:rPr>
  </w:style>
  <w:style w:type="paragraph" w:styleId="Ttulo2">
    <w:name w:val="heading 2"/>
    <w:basedOn w:val="Normal"/>
    <w:next w:val="Standard"/>
    <w:uiPriority w:val="9"/>
    <w:semiHidden/>
    <w:unhideWhenUsed/>
    <w:qFormat/>
    <w:pPr>
      <w:keepNext/>
      <w:keepLines/>
      <w:spacing w:before="360" w:after="80"/>
      <w:outlineLvl w:val="1"/>
    </w:pPr>
    <w:rPr>
      <w:b/>
      <w:sz w:val="36"/>
      <w:szCs w:val="36"/>
    </w:rPr>
  </w:style>
  <w:style w:type="paragraph" w:styleId="Ttulo3">
    <w:name w:val="heading 3"/>
    <w:basedOn w:val="Normal"/>
    <w:next w:val="Standard"/>
    <w:uiPriority w:val="9"/>
    <w:semiHidden/>
    <w:unhideWhenUsed/>
    <w:qFormat/>
    <w:pPr>
      <w:keepNext/>
      <w:keepLines/>
      <w:spacing w:before="280" w:after="80"/>
      <w:outlineLvl w:val="2"/>
    </w:pPr>
    <w:rPr>
      <w:b/>
      <w:sz w:val="28"/>
      <w:szCs w:val="28"/>
    </w:rPr>
  </w:style>
  <w:style w:type="paragraph" w:styleId="Ttulo4">
    <w:name w:val="heading 4"/>
    <w:basedOn w:val="Normal"/>
    <w:next w:val="Standard"/>
    <w:uiPriority w:val="9"/>
    <w:semiHidden/>
    <w:unhideWhenUsed/>
    <w:qFormat/>
    <w:pPr>
      <w:keepNext/>
      <w:keepLines/>
      <w:spacing w:before="240" w:after="40"/>
      <w:outlineLvl w:val="3"/>
    </w:pPr>
    <w:rPr>
      <w:b/>
    </w:rPr>
  </w:style>
  <w:style w:type="paragraph" w:styleId="Ttulo5">
    <w:name w:val="heading 5"/>
    <w:basedOn w:val="Normal"/>
    <w:next w:val="Standard"/>
    <w:uiPriority w:val="9"/>
    <w:semiHidden/>
    <w:unhideWhenUsed/>
    <w:qFormat/>
    <w:pPr>
      <w:keepNext/>
      <w:keepLines/>
      <w:spacing w:before="220" w:after="40"/>
      <w:outlineLvl w:val="4"/>
    </w:pPr>
    <w:rPr>
      <w:b/>
      <w:sz w:val="22"/>
      <w:szCs w:val="22"/>
    </w:rPr>
  </w:style>
  <w:style w:type="paragraph" w:styleId="Ttulo6">
    <w:name w:val="heading 6"/>
    <w:basedOn w:val="Normal"/>
    <w:next w:val="Standard"/>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pPr>
      <w:suppressAutoHyphens/>
      <w:jc w:val="both"/>
    </w:pPr>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40" w:line="276" w:lineRule="auto"/>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Ttulo">
    <w:name w:val="Title"/>
    <w:basedOn w:val="Normal"/>
    <w:next w:val="Standard"/>
    <w:uiPriority w:val="10"/>
    <w:qFormat/>
    <w:pPr>
      <w:keepNext/>
      <w:keepLines/>
      <w:spacing w:before="480" w:after="120"/>
    </w:pPr>
    <w:rPr>
      <w:b/>
      <w:sz w:val="72"/>
      <w:szCs w:val="72"/>
    </w:rPr>
  </w:style>
  <w:style w:type="paragraph" w:styleId="Cabealho">
    <w:name w:val="header"/>
    <w:basedOn w:val="Normal"/>
    <w:pPr>
      <w:tabs>
        <w:tab w:val="center" w:pos="4252"/>
        <w:tab w:val="right" w:pos="8504"/>
      </w:tabs>
    </w:pPr>
  </w:style>
  <w:style w:type="paragraph" w:styleId="Rodap">
    <w:name w:val="footer"/>
    <w:basedOn w:val="Normal"/>
    <w:pPr>
      <w:tabs>
        <w:tab w:val="center" w:pos="4252"/>
        <w:tab w:val="right" w:pos="8504"/>
      </w:tabs>
    </w:pPr>
  </w:style>
  <w:style w:type="paragraph" w:styleId="PargrafodaLista">
    <w:name w:val="List Paragraph"/>
    <w:basedOn w:val="Normal"/>
    <w:pPr>
      <w:ind w:left="720"/>
    </w:pPr>
  </w:style>
  <w:style w:type="paragraph" w:customStyle="1" w:styleId="Footnote">
    <w:name w:val="Footnote"/>
    <w:basedOn w:val="Normal"/>
    <w:rPr>
      <w:sz w:val="20"/>
      <w:szCs w:val="20"/>
    </w:rPr>
  </w:style>
  <w:style w:type="paragraph" w:styleId="Subttulo">
    <w:name w:val="Subtitle"/>
    <w:basedOn w:val="Normal"/>
    <w:next w:val="Standard"/>
    <w:uiPriority w:val="11"/>
    <w:qFormat/>
    <w:pPr>
      <w:keepNext/>
      <w:keepLines/>
      <w:spacing w:before="360" w:after="80"/>
    </w:pPr>
    <w:rPr>
      <w:rFonts w:ascii="Georgia" w:eastAsia="Georgia" w:hAnsi="Georgia" w:cs="Georgia"/>
      <w:i/>
      <w:color w:val="666666"/>
      <w:sz w:val="48"/>
      <w:szCs w:val="48"/>
    </w:rPr>
  </w:style>
  <w:style w:type="character" w:customStyle="1" w:styleId="CabealhoChar">
    <w:name w:val="Cabeçalho Char"/>
    <w:basedOn w:val="Fontepargpadro"/>
  </w:style>
  <w:style w:type="character" w:customStyle="1" w:styleId="RodapChar">
    <w:name w:val="Rodapé Char"/>
    <w:basedOn w:val="Fontepargpadro"/>
  </w:style>
  <w:style w:type="character" w:customStyle="1" w:styleId="TextodenotaderodapChar">
    <w:name w:val="Texto de nota de rodapé Char"/>
    <w:basedOn w:val="Fontepargpadro"/>
    <w:rPr>
      <w:sz w:val="20"/>
      <w:szCs w:val="20"/>
    </w:rPr>
  </w:style>
  <w:style w:type="character" w:customStyle="1" w:styleId="FootnoteSymbol">
    <w:name w:val="Footnote Symbol"/>
    <w:basedOn w:val="Fontepargpadro"/>
    <w:rPr>
      <w:position w:val="0"/>
      <w:vertAlign w:val="superscript"/>
    </w:rPr>
  </w:style>
  <w:style w:type="character" w:customStyle="1" w:styleId="Footnoteanchor">
    <w:name w:val="Footnote anchor"/>
    <w:rPr>
      <w:position w:val="0"/>
      <w:vertAlign w:val="superscript"/>
    </w:rPr>
  </w:style>
  <w:style w:type="character" w:customStyle="1" w:styleId="Internetlink">
    <w:name w:val="Internet link"/>
    <w:basedOn w:val="Fontepargpadro"/>
    <w:rPr>
      <w:color w:val="0563C1"/>
      <w:u w:val="single"/>
    </w:rPr>
  </w:style>
  <w:style w:type="character" w:styleId="MenoPendente">
    <w:name w:val="Unresolved Mention"/>
    <w:basedOn w:val="Fontepargpadro"/>
    <w:rPr>
      <w:color w:val="605E5C"/>
      <w:shd w:val="clear" w:color="auto" w:fill="E1DFDD"/>
    </w:rPr>
  </w:style>
  <w:style w:type="character" w:customStyle="1" w:styleId="ListLabel1">
    <w:name w:val="ListLabel 1"/>
    <w:rPr>
      <w:color w:val="0563C1"/>
      <w:u w:val="single"/>
    </w:rPr>
  </w:style>
  <w:style w:type="character" w:styleId="Refdenotaderodap">
    <w:name w:val="footnote reference"/>
    <w:basedOn w:val="Fontepargpadro"/>
    <w:rPr>
      <w:position w:val="0"/>
      <w:vertAlign w:val="superscript"/>
    </w:rPr>
  </w:style>
  <w:style w:type="numbering" w:customStyle="1" w:styleId="NoList">
    <w:name w:val="No List"/>
    <w:basedOn w:val="Semlista"/>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140b9f7d-8e3a-482f-9702-4b7ffc40985a}" enabled="1" method="Privileged" siteId="{5b6f6241-9a57-4be4-8e50-1dfa72e79a57}" contentBits="2" removed="0"/>
</clbl:labelList>
</file>

<file path=docProps/app.xml><?xml version="1.0" encoding="utf-8"?>
<Properties xmlns="http://schemas.openxmlformats.org/officeDocument/2006/extended-properties" xmlns:vt="http://schemas.openxmlformats.org/officeDocument/2006/docPropsVTypes">
  <Template>Normal</Template>
  <TotalTime>1</TotalTime>
  <Pages>6</Pages>
  <Words>2185</Words>
  <Characters>11800</Characters>
  <Application>Microsoft Office Word</Application>
  <DocSecurity>0</DocSecurity>
  <Lines>98</Lines>
  <Paragraphs>27</Paragraphs>
  <ScaleCrop>false</ScaleCrop>
  <Company/>
  <LinksUpToDate>false</LinksUpToDate>
  <CharactersWithSpaces>13958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Luiz Guilherme Rodrigues Antunes</dc:creator>
  <cp:lastModifiedBy>Manuela Godoy Brandao</cp:lastModifiedBy>
  <cp:revision>2</cp:revision>
  <dcterms:created xsi:type="dcterms:W3CDTF">2025-07-14T18:56:00Z</dcterms:created>
  <dcterms:modified xsi:type="dcterms:W3CDTF">2025-07-14T18:56:00Z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ClassificationContentMarkingFooterShapeIds">
    <vt:lpwstr>922380a,5291aa95,1db52d96</vt:lpwstr>
  </property>
  <property fmtid="{D5CDD505-2E9C-101B-9397-08002B2CF9AE}" pid="4" name="ClassificationContentMarkingFooterFontProps">
    <vt:lpwstr>#737373,9,Trebuchet MS</vt:lpwstr>
  </property>
  <property fmtid="{D5CDD505-2E9C-101B-9397-08002B2CF9AE}" pid="5" name="ClassificationContentMarkingFooterText">
    <vt:lpwstr>PÚBLICA</vt:lpwstr>
  </property>
  <property fmtid="{D5CDD505-2E9C-101B-9397-08002B2CF9AE}" pid="6" name="MSIP_Label_140b9f7d-8e3a-482f-9702-4b7ffc40985a_Enabled">
    <vt:lpwstr>true</vt:lpwstr>
  </property>
  <property fmtid="{D5CDD505-2E9C-101B-9397-08002B2CF9AE}" pid="7" name="MSIP_Label_140b9f7d-8e3a-482f-9702-4b7ffc40985a_SetDate">
    <vt:lpwstr>2025-07-14T18:56:07Z</vt:lpwstr>
  </property>
  <property fmtid="{D5CDD505-2E9C-101B-9397-08002B2CF9AE}" pid="8" name="MSIP_Label_140b9f7d-8e3a-482f-9702-4b7ffc40985a_Method">
    <vt:lpwstr>Standard</vt:lpwstr>
  </property>
  <property fmtid="{D5CDD505-2E9C-101B-9397-08002B2CF9AE}" pid="9" name="MSIP_Label_140b9f7d-8e3a-482f-9702-4b7ffc40985a_Name">
    <vt:lpwstr>Pública</vt:lpwstr>
  </property>
  <property fmtid="{D5CDD505-2E9C-101B-9397-08002B2CF9AE}" pid="10" name="MSIP_Label_140b9f7d-8e3a-482f-9702-4b7ffc40985a_SiteId">
    <vt:lpwstr>5b6f6241-9a57-4be4-8e50-1dfa72e79a57</vt:lpwstr>
  </property>
  <property fmtid="{D5CDD505-2E9C-101B-9397-08002B2CF9AE}" pid="11" name="MSIP_Label_140b9f7d-8e3a-482f-9702-4b7ffc40985a_ActionId">
    <vt:lpwstr>3370340f-e2b7-4d0e-9add-b4eb87eea401</vt:lpwstr>
  </property>
  <property fmtid="{D5CDD505-2E9C-101B-9397-08002B2CF9AE}" pid="12" name="MSIP_Label_140b9f7d-8e3a-482f-9702-4b7ffc40985a_ContentBits">
    <vt:lpwstr>0</vt:lpwstr>
  </property>
</Properties>
</file>