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5B133" w14:textId="77777777" w:rsidR="00C62F68" w:rsidRDefault="00C62F68">
      <w:pPr>
        <w:spacing w:before="120" w:after="120"/>
        <w:jc w:val="center"/>
        <w:rPr>
          <w:b/>
        </w:rPr>
      </w:pPr>
    </w:p>
    <w:p w14:paraId="3CD233F6" w14:textId="768E931B" w:rsidR="008C2C1B" w:rsidRPr="008C2C1B" w:rsidRDefault="008C2C1B" w:rsidP="008C2C1B">
      <w:pPr>
        <w:spacing w:before="120" w:after="120"/>
        <w:jc w:val="center"/>
        <w:rPr>
          <w:b/>
          <w:bCs/>
          <w:sz w:val="22"/>
        </w:rPr>
      </w:pPr>
      <w:r w:rsidRPr="008C2C1B">
        <w:rPr>
          <w:b/>
          <w:bCs/>
          <w:sz w:val="22"/>
        </w:rPr>
        <w:t xml:space="preserve">INOVAÇÃO ABERTA E APRENDIZAGEM PARA PROJETOS TECNOLÓGICOS EM SANEAMENTO </w:t>
      </w:r>
    </w:p>
    <w:p w14:paraId="3110A9ED" w14:textId="33BC1AE1" w:rsidR="00C62F68" w:rsidRDefault="00C62F68">
      <w:pPr>
        <w:spacing w:before="120" w:after="120"/>
        <w:jc w:val="center"/>
        <w:rPr>
          <w:b/>
        </w:rPr>
      </w:pPr>
    </w:p>
    <w:p w14:paraId="642DC098" w14:textId="66E36C7D" w:rsidR="008C2C1B" w:rsidRDefault="008C2C1B" w:rsidP="008C2C1B">
      <w:pPr>
        <w:spacing w:line="245" w:lineRule="exact"/>
        <w:rPr>
          <w:rFonts w:ascii="Calibri"/>
          <w:b/>
        </w:rPr>
      </w:pPr>
      <w:r>
        <w:t>Autor1</w:t>
      </w:r>
      <w:r>
        <w:rPr>
          <w:vertAlign w:val="superscript"/>
        </w:rPr>
        <w:footnoteReference w:id="1"/>
      </w:r>
      <w:r>
        <w:t xml:space="preserve">; Cristina Ferigotti </w:t>
      </w:r>
    </w:p>
    <w:p w14:paraId="6753B24D" w14:textId="1F918D0B" w:rsidR="00C62F68" w:rsidRDefault="00C62F68">
      <w:pPr>
        <w:spacing w:before="120" w:after="120"/>
        <w:jc w:val="center"/>
      </w:pPr>
    </w:p>
    <w:p w14:paraId="10EC1F93" w14:textId="77777777" w:rsidR="00C62F68" w:rsidRDefault="00C62F68">
      <w:pPr>
        <w:spacing w:before="120" w:after="120"/>
        <w:jc w:val="center"/>
        <w:rPr>
          <w:b/>
        </w:rPr>
      </w:pPr>
    </w:p>
    <w:p w14:paraId="4D83F795" w14:textId="77777777" w:rsidR="00C62F68" w:rsidRDefault="008C2C1B">
      <w:pPr>
        <w:spacing w:before="120" w:after="120"/>
        <w:rPr>
          <w:b/>
        </w:rPr>
      </w:pPr>
      <w:r>
        <w:rPr>
          <w:b/>
        </w:rPr>
        <w:t>RESUMO</w:t>
      </w:r>
    </w:p>
    <w:p w14:paraId="15DF29A1" w14:textId="77777777" w:rsidR="008C2C1B" w:rsidRDefault="008C2C1B" w:rsidP="008C2C1B">
      <w:pPr>
        <w:spacing w:before="120" w:after="120"/>
        <w:ind w:right="424"/>
      </w:pPr>
      <w:r w:rsidRPr="005C7614">
        <w:rPr>
          <w:rFonts w:cs="Arial"/>
          <w:kern w:val="2"/>
        </w:rPr>
        <w:t xml:space="preserve">O estudo enfoca inovação aberta, aprendizagem externa em duas instituições organizacionais: </w:t>
      </w:r>
      <w:r>
        <w:rPr>
          <w:rFonts w:cs="Arial"/>
          <w:kern w:val="2"/>
        </w:rPr>
        <w:t>C</w:t>
      </w:r>
      <w:r w:rsidRPr="005C7614">
        <w:rPr>
          <w:rFonts w:cs="Arial"/>
          <w:kern w:val="2"/>
        </w:rPr>
        <w:t xml:space="preserve">ompanhia de saneamento e Instituição de Ciência e Tecnologia </w:t>
      </w:r>
      <w:r>
        <w:rPr>
          <w:rFonts w:cs="Arial"/>
          <w:kern w:val="2"/>
        </w:rPr>
        <w:t>(</w:t>
      </w:r>
      <w:r w:rsidRPr="005C7614">
        <w:rPr>
          <w:rFonts w:cs="Arial"/>
          <w:kern w:val="2"/>
        </w:rPr>
        <w:t>ICT</w:t>
      </w:r>
      <w:r>
        <w:rPr>
          <w:rFonts w:cs="Arial"/>
          <w:kern w:val="2"/>
        </w:rPr>
        <w:t>)</w:t>
      </w:r>
      <w:r w:rsidRPr="005C7614">
        <w:rPr>
          <w:rFonts w:cs="Arial"/>
          <w:kern w:val="2"/>
        </w:rPr>
        <w:t xml:space="preserve">. </w:t>
      </w:r>
      <w:r>
        <w:rPr>
          <w:rFonts w:cs="Arial"/>
          <w:kern w:val="2"/>
        </w:rPr>
        <w:t xml:space="preserve">O estudo examina </w:t>
      </w:r>
      <w:r w:rsidRPr="005537B0">
        <w:rPr>
          <w:rFonts w:cs="Arial"/>
          <w:kern w:val="2"/>
        </w:rPr>
        <w:t xml:space="preserve">o </w:t>
      </w:r>
      <w:r w:rsidRPr="005C7614">
        <w:rPr>
          <w:rFonts w:cs="Arial"/>
          <w:kern w:val="2"/>
        </w:rPr>
        <w:t xml:space="preserve">Programa de Inovação Aberta </w:t>
      </w:r>
      <w:r w:rsidRPr="005537B0">
        <w:rPr>
          <w:rFonts w:cs="Arial"/>
          <w:kern w:val="2"/>
        </w:rPr>
        <w:t xml:space="preserve">no período de 2020 a 2024, no contexto de mudanças institucionais e regulatórias do setor de </w:t>
      </w:r>
      <w:r>
        <w:rPr>
          <w:rFonts w:cs="Arial"/>
          <w:kern w:val="2"/>
        </w:rPr>
        <w:t>saneamento.</w:t>
      </w:r>
      <w:r w:rsidRPr="005537B0">
        <w:rPr>
          <w:rFonts w:cs="Arial"/>
          <w:kern w:val="2"/>
        </w:rPr>
        <w:t xml:space="preserve"> Nesse sentido, visa favorecer o entendimento sobre </w:t>
      </w:r>
      <w:r w:rsidRPr="005537B0">
        <w:rPr>
          <w:rFonts w:cs="Arial"/>
          <w:i/>
          <w:iCs/>
          <w:kern w:val="2"/>
        </w:rPr>
        <w:t>como</w:t>
      </w:r>
      <w:r w:rsidRPr="005537B0">
        <w:rPr>
          <w:rFonts w:cs="Arial"/>
          <w:kern w:val="2"/>
        </w:rPr>
        <w:t xml:space="preserve"> a relação entre inovação aberta, aprendizagem externa</w:t>
      </w:r>
      <w:r w:rsidRPr="005C7614">
        <w:rPr>
          <w:rFonts w:cs="Arial"/>
          <w:kern w:val="2"/>
        </w:rPr>
        <w:t xml:space="preserve"> </w:t>
      </w:r>
      <w:r w:rsidRPr="005537B0">
        <w:rPr>
          <w:rFonts w:cs="Arial"/>
          <w:kern w:val="2"/>
        </w:rPr>
        <w:t xml:space="preserve">pode </w:t>
      </w:r>
      <w:r>
        <w:rPr>
          <w:rFonts w:cs="Arial"/>
          <w:kern w:val="2"/>
        </w:rPr>
        <w:t>intensificar</w:t>
      </w:r>
      <w:r w:rsidRPr="005537B0">
        <w:rPr>
          <w:rFonts w:cs="Arial"/>
          <w:kern w:val="2"/>
        </w:rPr>
        <w:t xml:space="preserve"> o desenvolvimento de tecnologias para desempenho em inovação sustentável</w:t>
      </w:r>
      <w:r>
        <w:rPr>
          <w:rFonts w:cs="Arial"/>
          <w:kern w:val="2"/>
        </w:rPr>
        <w:t>.</w:t>
      </w:r>
      <w:r>
        <w:rPr>
          <w:b/>
        </w:rPr>
        <w:t xml:space="preserve"> </w:t>
      </w:r>
      <w:r w:rsidRPr="005537B0">
        <w:rPr>
          <w:rFonts w:cs="Arial"/>
          <w:kern w:val="2"/>
        </w:rPr>
        <w:t xml:space="preserve">Para alcançar este objetivo </w:t>
      </w:r>
      <w:r w:rsidRPr="005537B0">
        <w:rPr>
          <w:rFonts w:cs="Arial"/>
        </w:rPr>
        <w:t>foi realizada uma investigação teórica e empírica</w:t>
      </w:r>
      <w:r w:rsidRPr="005537B0">
        <w:rPr>
          <w:rFonts w:cs="Arial"/>
          <w:kern w:val="2"/>
        </w:rPr>
        <w:t xml:space="preserve"> por meio de pesquisa transversal, qualitativa, exploratória e descritiva, com </w:t>
      </w:r>
      <w:r w:rsidRPr="005537B0">
        <w:rPr>
          <w:rFonts w:cs="Arial"/>
        </w:rPr>
        <w:t xml:space="preserve">técnica de pesquisa de estudo de caso único, indicado para </w:t>
      </w:r>
      <w:r w:rsidRPr="005537B0">
        <w:rPr>
          <w:rFonts w:cs="Arial"/>
          <w:kern w:val="2"/>
        </w:rPr>
        <w:t>pesquisar implantação de programas.</w:t>
      </w:r>
      <w:r>
        <w:rPr>
          <w:rFonts w:cs="Arial"/>
          <w:kern w:val="2"/>
        </w:rPr>
        <w:t xml:space="preserve"> A pergunta que norteia a pesquisa foi</w:t>
      </w:r>
      <w:r w:rsidRPr="0087702D">
        <w:rPr>
          <w:rFonts w:cs="Arial"/>
          <w:kern w:val="2"/>
        </w:rPr>
        <w:t>:</w:t>
      </w:r>
      <w:r w:rsidRPr="0087702D">
        <w:rPr>
          <w:i/>
          <w:iCs/>
        </w:rPr>
        <w:t xml:space="preserve"> Como</w:t>
      </w:r>
      <w:r w:rsidRPr="0087702D">
        <w:t xml:space="preserve"> a inovação aberta em arranjo institucional colaborativo </w:t>
      </w:r>
      <w:r w:rsidRPr="0087702D">
        <w:rPr>
          <w:i/>
          <w:iCs/>
        </w:rPr>
        <w:t xml:space="preserve">intensifica </w:t>
      </w:r>
      <w:r w:rsidRPr="0087702D">
        <w:t>a inovação tecnológica no setor de infraestrutura de saneamento?</w:t>
      </w:r>
      <w:r w:rsidRPr="00296E1D">
        <w:rPr>
          <w:rFonts w:cs="Arial"/>
        </w:rPr>
        <w:t xml:space="preserve"> </w:t>
      </w:r>
      <w:r w:rsidRPr="005537B0">
        <w:rPr>
          <w:rFonts w:cs="Arial"/>
        </w:rPr>
        <w:t>Como resultado, foi possível observar</w:t>
      </w:r>
      <w:r>
        <w:rPr>
          <w:rFonts w:cs="Arial"/>
        </w:rPr>
        <w:t xml:space="preserve"> que </w:t>
      </w:r>
      <w:r w:rsidRPr="00296E1D">
        <w:t>a</w:t>
      </w:r>
      <w:r>
        <w:t xml:space="preserve"> criação do Programa intensificou o desenvolvimento de inovação tecnológica no setor de saneamento. Em conclusão, </w:t>
      </w:r>
      <w:r>
        <w:rPr>
          <w:rFonts w:cs="Arial"/>
          <w:kern w:val="2"/>
        </w:rPr>
        <w:t>o estudo</w:t>
      </w:r>
      <w:r w:rsidRPr="005537B0">
        <w:rPr>
          <w:rFonts w:cs="Arial"/>
          <w:kern w:val="2"/>
        </w:rPr>
        <w:t xml:space="preserve"> permitiu uma melhor compreensão da importância da </w:t>
      </w:r>
      <w:r>
        <w:rPr>
          <w:rFonts w:cs="Arial"/>
          <w:kern w:val="2"/>
        </w:rPr>
        <w:t xml:space="preserve">inovação aberta </w:t>
      </w:r>
      <w:r w:rsidRPr="005537B0">
        <w:rPr>
          <w:rFonts w:cs="Arial"/>
          <w:i/>
          <w:iCs/>
          <w:kern w:val="2"/>
        </w:rPr>
        <w:t>inbound</w:t>
      </w:r>
      <w:r w:rsidRPr="005537B0">
        <w:rPr>
          <w:rFonts w:cs="Arial"/>
          <w:kern w:val="2"/>
        </w:rPr>
        <w:t xml:space="preserve"> </w:t>
      </w:r>
      <w:r>
        <w:rPr>
          <w:rFonts w:cs="Arial"/>
          <w:kern w:val="2"/>
        </w:rPr>
        <w:t xml:space="preserve">como </w:t>
      </w:r>
      <w:r w:rsidRPr="005537B0">
        <w:rPr>
          <w:rFonts w:cs="Arial"/>
          <w:kern w:val="2"/>
        </w:rPr>
        <w:t xml:space="preserve">dimensão importante para melhorar o desempenho </w:t>
      </w:r>
      <w:r>
        <w:rPr>
          <w:rFonts w:cs="Arial"/>
          <w:kern w:val="2"/>
        </w:rPr>
        <w:t>em</w:t>
      </w:r>
      <w:r w:rsidRPr="005537B0">
        <w:rPr>
          <w:rFonts w:cs="Arial"/>
          <w:kern w:val="2"/>
        </w:rPr>
        <w:t xml:space="preserve"> inovação sustentável</w:t>
      </w:r>
      <w:r>
        <w:rPr>
          <w:rFonts w:cs="Arial"/>
          <w:kern w:val="2"/>
        </w:rPr>
        <w:t xml:space="preserve"> de projetos tecnológicos para saneamento.</w:t>
      </w:r>
    </w:p>
    <w:p w14:paraId="4A102FA8" w14:textId="77777777" w:rsidR="008C2C1B" w:rsidRDefault="008C2C1B">
      <w:pPr>
        <w:spacing w:before="120" w:after="120"/>
        <w:rPr>
          <w:b/>
        </w:rPr>
      </w:pPr>
    </w:p>
    <w:p w14:paraId="45AA40B8" w14:textId="78004E65" w:rsidR="00C62F68" w:rsidRDefault="008C2C1B">
      <w:pPr>
        <w:spacing w:before="120" w:after="120"/>
      </w:pPr>
      <w:r>
        <w:rPr>
          <w:b/>
        </w:rPr>
        <w:t>PALAVRAS-CHAVE</w:t>
      </w:r>
      <w:r>
        <w:t xml:space="preserve">: </w:t>
      </w:r>
      <w:r w:rsidRPr="005537B0">
        <w:rPr>
          <w:rFonts w:cs="Arial"/>
          <w:kern w:val="2"/>
        </w:rPr>
        <w:t xml:space="preserve">Inovação aberta; </w:t>
      </w:r>
      <w:r>
        <w:rPr>
          <w:rFonts w:cs="Arial"/>
          <w:kern w:val="2"/>
        </w:rPr>
        <w:t>aprendizagem, s</w:t>
      </w:r>
      <w:r w:rsidRPr="005537B0">
        <w:rPr>
          <w:rFonts w:cs="Arial"/>
          <w:kern w:val="2"/>
        </w:rPr>
        <w:t>etor de saneamento</w:t>
      </w:r>
      <w:r>
        <w:rPr>
          <w:rFonts w:cs="Arial"/>
          <w:kern w:val="2"/>
        </w:rPr>
        <w:t>.</w:t>
      </w:r>
    </w:p>
    <w:p w14:paraId="2F81A7F7" w14:textId="77777777" w:rsidR="00C62F68" w:rsidRDefault="00C62F68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C62F68" w14:paraId="4B13963E" w14:textId="77777777">
        <w:trPr>
          <w:trHeight w:val="273"/>
        </w:trPr>
        <w:tc>
          <w:tcPr>
            <w:tcW w:w="3773" w:type="dxa"/>
          </w:tcPr>
          <w:p w14:paraId="1C156F65" w14:textId="1F15ECD6" w:rsidR="00C62F68" w:rsidRDefault="008C2C1B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7D5F4629" w14:textId="77777777" w:rsidR="00C62F68" w:rsidRDefault="008C2C1B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C62F68" w14:paraId="7AE1357E" w14:textId="77777777">
        <w:trPr>
          <w:trHeight w:val="273"/>
        </w:trPr>
        <w:tc>
          <w:tcPr>
            <w:tcW w:w="3773" w:type="dxa"/>
          </w:tcPr>
          <w:p w14:paraId="24CD9FB9" w14:textId="77777777" w:rsidR="008C2C1B" w:rsidRDefault="008C2C1B" w:rsidP="008C2C1B">
            <w:pPr>
              <w:spacing w:line="245" w:lineRule="exact"/>
              <w:rPr>
                <w:rFonts w:ascii="Calibri"/>
                <w:b/>
              </w:rPr>
            </w:pPr>
            <w:r>
              <w:t>C.F.R. Inovação e Sustentabilidade</w:t>
            </w:r>
            <w:r w:rsidRPr="0087702D">
              <w:rPr>
                <w:rFonts w:cs="Arial"/>
                <w:kern w:val="2"/>
              </w:rPr>
              <w:t xml:space="preserve"> </w:t>
            </w:r>
          </w:p>
          <w:p w14:paraId="4977B266" w14:textId="7E9B3F05" w:rsidR="00C62F68" w:rsidRDefault="00C62F68"/>
        </w:tc>
        <w:tc>
          <w:tcPr>
            <w:tcW w:w="5294" w:type="dxa"/>
          </w:tcPr>
          <w:p w14:paraId="1003BFC9" w14:textId="63F18FB9" w:rsidR="00C62F68" w:rsidRDefault="008C2C1B">
            <w:r w:rsidRPr="008C2C1B">
              <w:t>C.F.R. TREINAMENTO E DESENVOLVIMENTO GERENCIAL LTDA.</w:t>
            </w:r>
            <w:r>
              <w:t>_ Inovação educação, capacitação e certificação</w:t>
            </w:r>
          </w:p>
        </w:tc>
      </w:tr>
    </w:tbl>
    <w:p w14:paraId="1BD0E80B" w14:textId="7ACB4D3A" w:rsidR="00C62F68" w:rsidRDefault="008C2C1B">
      <w:pPr>
        <w:sectPr w:rsidR="00C62F68">
          <w:headerReference w:type="default" r:id="rId6"/>
          <w:footerReference w:type="default" r:id="rId7"/>
          <w:headerReference w:type="first" r:id="rId8"/>
          <w:footerReference w:type="first" r:id="rId9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  <w:r>
        <w:t>.</w:t>
      </w:r>
    </w:p>
    <w:p w14:paraId="3862C058" w14:textId="77777777" w:rsidR="00C62F68" w:rsidRDefault="00C62F68"/>
    <w:p w14:paraId="3F79BB59" w14:textId="77777777" w:rsidR="00C62F68" w:rsidRDefault="008C2C1B">
      <w:pPr>
        <w:rPr>
          <w:b/>
        </w:rPr>
      </w:pPr>
      <w:r>
        <w:rPr>
          <w:b/>
        </w:rPr>
        <w:t xml:space="preserve">1. SITUAÇÃO PROBLEMA DE OPEN INNOVATION </w:t>
      </w:r>
    </w:p>
    <w:p w14:paraId="3F2033FE" w14:textId="77777777" w:rsidR="008C2C1B" w:rsidRDefault="008C2C1B" w:rsidP="008C2C1B">
      <w:pPr>
        <w:spacing w:before="120" w:after="120"/>
        <w:ind w:firstLine="709"/>
        <w:rPr>
          <w:color w:val="000000" w:themeColor="text1"/>
        </w:rPr>
      </w:pPr>
    </w:p>
    <w:p w14:paraId="0BE64D90" w14:textId="77777777" w:rsidR="00EA4BDD" w:rsidRPr="009D29CB" w:rsidRDefault="00EA4BDD" w:rsidP="00EA4BDD">
      <w:pPr>
        <w:spacing w:before="120" w:after="120"/>
        <w:ind w:firstLine="709"/>
        <w:rPr>
          <w:color w:val="000000" w:themeColor="text1"/>
        </w:rPr>
      </w:pPr>
      <w:r w:rsidRPr="009D29CB">
        <w:rPr>
          <w:color w:val="000000" w:themeColor="text1"/>
        </w:rPr>
        <w:t xml:space="preserve">Este trabalho </w:t>
      </w:r>
      <w:r w:rsidRPr="009D29CB">
        <w:rPr>
          <w:rFonts w:eastAsia="Calibri"/>
          <w:color w:val="000000" w:themeColor="text1"/>
          <w:lang w:val="pt-PT"/>
        </w:rPr>
        <w:t xml:space="preserve">adota a definição de inovação aberta </w:t>
      </w:r>
      <w:r w:rsidRPr="009D29CB">
        <w:rPr>
          <w:rFonts w:eastAsia="Calibri"/>
          <w:i/>
          <w:iCs/>
          <w:color w:val="000000" w:themeColor="text1"/>
          <w:lang w:val="pt-PT"/>
        </w:rPr>
        <w:t>inbound</w:t>
      </w:r>
      <w:r w:rsidRPr="009D29CB">
        <w:rPr>
          <w:rFonts w:eastAsia="Calibri"/>
          <w:color w:val="000000" w:themeColor="text1"/>
          <w:lang w:val="pt-PT"/>
        </w:rPr>
        <w:t xml:space="preserve"> como envolvimento da organização com fontes externas de conhecimento para alavancar tecnologias e novas descobertas (Chesbrough, 2004, 2003, Chesbrough, et al, 2024), a qual coexiste com o termo arranjo colaborativo. Este não é um termo intercambiavel com sistema de inovação, no entanto, ambos co-existem para expressar um conjunto evolutivo de atores (empresas e instituições). Além disso, as fontes externas de aprendizado para inovação permitem desenvolver ativos de conhecimento valorosos em conjuntos com arranjos colaborativos entre empresas parceiras (Knudsen et. al., 2017; </w:t>
      </w:r>
      <w:proofErr w:type="spellStart"/>
      <w:r w:rsidRPr="009D29CB">
        <w:rPr>
          <w:color w:val="000000" w:themeColor="text1"/>
        </w:rPr>
        <w:t>Grandstrand</w:t>
      </w:r>
      <w:proofErr w:type="spellEnd"/>
      <w:r w:rsidRPr="009D29CB">
        <w:rPr>
          <w:color w:val="000000" w:themeColor="text1"/>
        </w:rPr>
        <w:t xml:space="preserve"> &amp; </w:t>
      </w:r>
      <w:proofErr w:type="spellStart"/>
      <w:r w:rsidRPr="009D29CB">
        <w:rPr>
          <w:color w:val="000000" w:themeColor="text1"/>
        </w:rPr>
        <w:t>Holgersson</w:t>
      </w:r>
      <w:proofErr w:type="spellEnd"/>
      <w:r w:rsidRPr="009D29CB">
        <w:rPr>
          <w:color w:val="000000" w:themeColor="text1"/>
        </w:rPr>
        <w:t>,</w:t>
      </w:r>
      <w:r w:rsidRPr="009D29CB">
        <w:rPr>
          <w:color w:val="000000" w:themeColor="text1"/>
          <w:spacing w:val="-52"/>
        </w:rPr>
        <w:t xml:space="preserve"> </w:t>
      </w:r>
      <w:r w:rsidRPr="009D29CB">
        <w:rPr>
          <w:color w:val="000000" w:themeColor="text1"/>
        </w:rPr>
        <w:t>2020). E, a</w:t>
      </w:r>
      <w:r w:rsidRPr="009D29CB">
        <w:rPr>
          <w:rFonts w:eastAsia="Calibri"/>
          <w:color w:val="000000" w:themeColor="text1"/>
          <w:lang w:val="pt-PT"/>
        </w:rPr>
        <w:t>prendizagem aqui se refere a diferentes fontes de conhecimento as quais podem ser externas ou internas à empresa (</w:t>
      </w:r>
      <w:r w:rsidRPr="009D29CB">
        <w:rPr>
          <w:rFonts w:eastAsia="Calibri"/>
          <w:caps/>
          <w:color w:val="000000" w:themeColor="text1"/>
          <w:lang w:val="pt-PT"/>
        </w:rPr>
        <w:t>M</w:t>
      </w:r>
      <w:r w:rsidRPr="009D29CB">
        <w:rPr>
          <w:rFonts w:eastAsia="Calibri"/>
          <w:color w:val="000000" w:themeColor="text1"/>
          <w:lang w:val="pt-PT"/>
        </w:rPr>
        <w:t>alerba</w:t>
      </w:r>
      <w:r w:rsidRPr="009D29CB">
        <w:rPr>
          <w:rFonts w:eastAsia="Calibri"/>
          <w:caps/>
          <w:color w:val="000000" w:themeColor="text1"/>
          <w:lang w:val="pt-PT"/>
        </w:rPr>
        <w:t>,</w:t>
      </w:r>
      <w:r w:rsidRPr="009D29CB">
        <w:rPr>
          <w:rFonts w:eastAsia="Calibri"/>
          <w:color w:val="000000" w:themeColor="text1"/>
          <w:lang w:val="pt-PT"/>
        </w:rPr>
        <w:t xml:space="preserve"> 1992).</w:t>
      </w:r>
      <w:r w:rsidRPr="009D29CB">
        <w:rPr>
          <w:color w:val="000000" w:themeColor="text1"/>
        </w:rPr>
        <w:t xml:space="preserve"> Neste contexto, o artigo estuda arranjo colaborativo entre Instituição de Ciência e Tecnologia (ICT), que prioriza o setor de agronegócios, cidades inteligentes, energia e saneamento, turismo e indústria 4.0 e companhia público-privada do setor de infraestrutura de saneamento. </w:t>
      </w:r>
      <w:r>
        <w:rPr>
          <w:color w:val="000000" w:themeColor="text1"/>
        </w:rPr>
        <w:t>O tema</w:t>
      </w:r>
      <w:r w:rsidRPr="009D29CB">
        <w:rPr>
          <w:color w:val="000000" w:themeColor="text1"/>
        </w:rPr>
        <w:t xml:space="preserve"> enquadra-se em parcerias efetivas entre entidades distintas para desenvolvimento de práticas de inovação aberta em projetos de inovação tecnológica </w:t>
      </w:r>
      <w:r>
        <w:rPr>
          <w:color w:val="000000" w:themeColor="text1"/>
        </w:rPr>
        <w:t>em</w:t>
      </w:r>
      <w:r w:rsidRPr="009D29CB">
        <w:rPr>
          <w:color w:val="000000" w:themeColor="text1"/>
        </w:rPr>
        <w:t xml:space="preserve"> saneamento.</w:t>
      </w:r>
      <w:r w:rsidRPr="007D0DBC">
        <w:rPr>
          <w:rFonts w:cs="Arial"/>
          <w:color w:val="000000"/>
          <w:lang w:val="pt-PT"/>
        </w:rPr>
        <w:t xml:space="preserve"> </w:t>
      </w:r>
      <w:r w:rsidRPr="00E84FA3">
        <w:rPr>
          <w:rFonts w:cs="Arial"/>
          <w:color w:val="000000"/>
          <w:lang w:val="pt-PT"/>
        </w:rPr>
        <w:t>Partindo dessa premissa, o estudo aborda a ideia de inovação aberta e indicadores de desempenho em projetos de inovação e sustentabilidade</w:t>
      </w:r>
      <w:r>
        <w:rPr>
          <w:rFonts w:cs="Arial"/>
          <w:color w:val="000000"/>
          <w:lang w:val="pt-PT"/>
        </w:rPr>
        <w:t>.</w:t>
      </w:r>
      <w:r w:rsidRPr="00E84FA3">
        <w:rPr>
          <w:rFonts w:cs="Arial"/>
          <w:color w:val="000000"/>
          <w:lang w:val="pt-PT"/>
        </w:rPr>
        <w:t xml:space="preserve"> </w:t>
      </w:r>
    </w:p>
    <w:p w14:paraId="1D3A4882" w14:textId="77777777" w:rsidR="00EA4BDD" w:rsidRPr="009D29CB" w:rsidRDefault="00EA4BDD" w:rsidP="00EA4BDD">
      <w:pPr>
        <w:spacing w:before="120" w:after="120"/>
        <w:ind w:firstLine="709"/>
      </w:pPr>
      <w:r w:rsidRPr="009D29CB">
        <w:rPr>
          <w:color w:val="000000" w:themeColor="text1"/>
        </w:rPr>
        <w:t xml:space="preserve">O método da pesquisa foi abordagem qualitativa de nível micro (Miles, </w:t>
      </w:r>
      <w:proofErr w:type="spellStart"/>
      <w:r w:rsidRPr="009D29CB">
        <w:rPr>
          <w:color w:val="000000" w:themeColor="text1"/>
        </w:rPr>
        <w:t>Huberman</w:t>
      </w:r>
      <w:proofErr w:type="spellEnd"/>
      <w:r w:rsidRPr="009D29CB">
        <w:rPr>
          <w:color w:val="000000" w:themeColor="text1"/>
        </w:rPr>
        <w:t xml:space="preserve"> &amp; </w:t>
      </w:r>
      <w:proofErr w:type="spellStart"/>
      <w:r w:rsidRPr="009D29CB">
        <w:rPr>
          <w:color w:val="000000" w:themeColor="text1"/>
        </w:rPr>
        <w:t>Saldaña</w:t>
      </w:r>
      <w:proofErr w:type="spellEnd"/>
      <w:r w:rsidRPr="009D29CB">
        <w:rPr>
          <w:color w:val="000000" w:themeColor="text1"/>
        </w:rPr>
        <w:t>, 2020), a metodologia priorizou estudo de caso simples (Yin, 201</w:t>
      </w:r>
      <w:r>
        <w:rPr>
          <w:color w:val="000000" w:themeColor="text1"/>
        </w:rPr>
        <w:t>5</w:t>
      </w:r>
      <w:r w:rsidRPr="009D29CB">
        <w:rPr>
          <w:color w:val="000000" w:themeColor="text1"/>
        </w:rPr>
        <w:t xml:space="preserve">), a coleta de dados envolveu trabalho de campo, observação participante em workshops e seminários com potencial de entrevistas. O que também envolveu entrevistas semiestruturadas com engenheiros, pesquisadores e técnicos da companhia de saneamento e do ICT. Deste modo a questão-chave </w:t>
      </w:r>
      <w:r w:rsidRPr="009D29CB">
        <w:t xml:space="preserve">que norteia este artigo foi: </w:t>
      </w:r>
      <w:r w:rsidRPr="009D29CB">
        <w:rPr>
          <w:i/>
          <w:iCs/>
        </w:rPr>
        <w:t>Como</w:t>
      </w:r>
      <w:r w:rsidRPr="009D29CB">
        <w:t xml:space="preserve"> a inovação aberta em arranjo institucional colaborativo i</w:t>
      </w:r>
      <w:r w:rsidRPr="009D29CB">
        <w:rPr>
          <w:u w:val="single"/>
        </w:rPr>
        <w:t xml:space="preserve">ntensifica </w:t>
      </w:r>
      <w:r w:rsidRPr="009D29CB">
        <w:t>a inovação tecnológica no setor de infraestrutura de saneamento? A demanda por novos conhecimentos surgiu principalmente a partir do Novo Marco Legal do Saneamento Básico em 2020, quando o governo brasileiro estimulou investimentos em Parcerias Público-Privadas (PPPs). A reforma do setor visa universalizar o acesso aos brasileiros que não estão conectados a sistemas de coleta de esgoto. Além disso, o efeito regulatório do Marco Legal do Saneamento Básico, baseado no desempenho, pode incentivar o desenvolvimento de capacidades (</w:t>
      </w:r>
      <w:proofErr w:type="spellStart"/>
      <w:r w:rsidRPr="009D29CB">
        <w:t>Teece</w:t>
      </w:r>
      <w:proofErr w:type="spellEnd"/>
      <w:r w:rsidRPr="009D29CB">
        <w:t xml:space="preserve">, </w:t>
      </w:r>
      <w:proofErr w:type="spellStart"/>
      <w:r w:rsidRPr="009D29CB">
        <w:t>Pisano</w:t>
      </w:r>
      <w:proofErr w:type="spellEnd"/>
      <w:r w:rsidRPr="009D29CB">
        <w:t xml:space="preserve"> &amp; </w:t>
      </w:r>
      <w:proofErr w:type="spellStart"/>
      <w:r w:rsidRPr="009D29CB">
        <w:t>Shuen</w:t>
      </w:r>
      <w:proofErr w:type="spellEnd"/>
      <w:r w:rsidRPr="009D29CB">
        <w:t>, 1997).</w:t>
      </w:r>
    </w:p>
    <w:p w14:paraId="5FFC69BC" w14:textId="77777777" w:rsidR="00EA4BDD" w:rsidRDefault="00EA4BDD" w:rsidP="00EA4BDD">
      <w:pPr>
        <w:spacing w:before="120" w:after="120"/>
        <w:ind w:firstLine="709"/>
      </w:pPr>
      <w:r w:rsidRPr="009D29CB">
        <w:rPr>
          <w:rFonts w:eastAsia="Calibri"/>
          <w:lang w:val="pt-PT"/>
        </w:rPr>
        <w:t>O acesso à água tem implicações diretas na economia, na saúde humana, na segurança alimentar e em muitos outros aspectos da vida humana.</w:t>
      </w:r>
      <w:r w:rsidRPr="009D29CB">
        <w:t xml:space="preserve"> </w:t>
      </w:r>
      <w:r w:rsidRPr="009D29CB">
        <w:rPr>
          <w:rFonts w:eastAsia="Calibri"/>
          <w:lang w:val="pt-PT"/>
        </w:rPr>
        <w:t xml:space="preserve">Em todo o mundo, os serviços relacionados ao abastecimento de água e saneamento são principalmente organizados pelo setor público e administrados por municípios, mas há muitos tipos de arranjos de governança pública, privada e mista. </w:t>
      </w:r>
      <w:r w:rsidRPr="009D29CB">
        <w:t xml:space="preserve">Portanto, o setor, diante do grande desenvolvimento de tecnologias necessárias, precisa preencher lacunas de conhecimento para inovações. O Brasil </w:t>
      </w:r>
      <w:r>
        <w:t>necessita</w:t>
      </w:r>
      <w:r w:rsidRPr="009D29CB">
        <w:t xml:space="preserve"> acelerar estudos sobre inovação no setor, visto que o país atualmente tem representatividade limitada no desenvolvimento tecnológico (Dantas da Silva &amp; Cavalcante de Amorim, 2023). Além disso, as evidências sugerem que fontes externas de conhecimento podem contribuir para o desempenho em inovação sustentável. Assim, o estudo auxilia a compreensão e análise mais aprofundadas da inovação aberta e da aprendizagem no setor de água e saneamento.</w:t>
      </w:r>
    </w:p>
    <w:p w14:paraId="0FCCFE82" w14:textId="77777777" w:rsidR="00C62F68" w:rsidRDefault="00C62F68">
      <w:pPr>
        <w:spacing w:before="120" w:after="120"/>
      </w:pPr>
    </w:p>
    <w:p w14:paraId="6DBC1F16" w14:textId="77777777" w:rsidR="008C2C1B" w:rsidRDefault="008C2C1B">
      <w:pPr>
        <w:spacing w:before="120" w:after="120"/>
      </w:pPr>
    </w:p>
    <w:p w14:paraId="6DB41D48" w14:textId="77777777" w:rsidR="008C2C1B" w:rsidRDefault="008C2C1B">
      <w:pPr>
        <w:spacing w:before="120" w:after="120"/>
      </w:pPr>
    </w:p>
    <w:p w14:paraId="464C6D82" w14:textId="77777777" w:rsidR="00C62F68" w:rsidRDefault="008C2C1B">
      <w:pPr>
        <w:spacing w:before="120" w:after="120"/>
        <w:rPr>
          <w:b/>
        </w:rPr>
      </w:pPr>
      <w:r>
        <w:rPr>
          <w:b/>
        </w:rPr>
        <w:lastRenderedPageBreak/>
        <w:t>2. INTERVENÇÃO</w:t>
      </w:r>
    </w:p>
    <w:p w14:paraId="6C9C3DF9" w14:textId="77777777" w:rsidR="00EA4BDD" w:rsidRDefault="00EA4BDD" w:rsidP="00EA4BDD">
      <w:pPr>
        <w:spacing w:before="120" w:after="120"/>
        <w:ind w:firstLine="709"/>
        <w:rPr>
          <w:rFonts w:eastAsia="Calibri"/>
          <w:color w:val="000000" w:themeColor="text1"/>
          <w:lang w:val="pt-PT"/>
        </w:rPr>
      </w:pPr>
      <w:r w:rsidRPr="009E6DBC">
        <w:t xml:space="preserve">Para responder </w:t>
      </w:r>
      <w:r w:rsidRPr="009E6DBC">
        <w:rPr>
          <w:i/>
          <w:iCs/>
        </w:rPr>
        <w:t>como</w:t>
      </w:r>
      <w:r w:rsidRPr="009E6DBC">
        <w:t xml:space="preserve"> a inovação aberta em arranjo institucional colaborativo </w:t>
      </w:r>
      <w:r w:rsidRPr="009E6DBC">
        <w:rPr>
          <w:i/>
          <w:iCs/>
        </w:rPr>
        <w:t xml:space="preserve">intensificou </w:t>
      </w:r>
      <w:r w:rsidRPr="009E6DBC">
        <w:t>a inovação sustentável no setor de saneamento</w:t>
      </w:r>
      <w:r w:rsidRPr="009D29CB">
        <w:rPr>
          <w:rFonts w:eastAsia="Calibri"/>
          <w:color w:val="000000"/>
          <w:lang w:val="pt-PT"/>
        </w:rPr>
        <w:t xml:space="preserve"> no</w:t>
      </w:r>
      <w:r>
        <w:rPr>
          <w:rFonts w:eastAsia="Calibri"/>
          <w:color w:val="000000"/>
          <w:lang w:val="pt-PT"/>
        </w:rPr>
        <w:t xml:space="preserve"> periodo de 2020 a 2024,</w:t>
      </w:r>
      <w:r>
        <w:t xml:space="preserve"> </w:t>
      </w:r>
      <w:r>
        <w:rPr>
          <w:rFonts w:eastAsia="Calibri"/>
          <w:color w:val="000000"/>
          <w:lang w:val="pt-PT"/>
        </w:rPr>
        <w:t>alguns objetivos foram desenvolvidos: i) i</w:t>
      </w:r>
      <w:r w:rsidRPr="00121CE2">
        <w:rPr>
          <w:rFonts w:eastAsia="Calibri"/>
          <w:color w:val="000000"/>
          <w:lang w:val="pt-PT"/>
        </w:rPr>
        <w:t xml:space="preserve">dentificar </w:t>
      </w:r>
      <w:r w:rsidRPr="009C487E">
        <w:rPr>
          <w:rFonts w:eastAsia="Calibri"/>
          <w:color w:val="000000"/>
          <w:lang w:val="pt-PT"/>
        </w:rPr>
        <w:t xml:space="preserve">inovação aberta e aprendizagem, </w:t>
      </w:r>
      <w:r>
        <w:rPr>
          <w:rFonts w:eastAsia="Calibri"/>
          <w:color w:val="000000"/>
          <w:lang w:val="pt-PT"/>
        </w:rPr>
        <w:t xml:space="preserve">ii) estabelecer metricas de </w:t>
      </w:r>
      <w:r w:rsidRPr="009C487E">
        <w:rPr>
          <w:rFonts w:eastAsia="Calibri"/>
          <w:color w:val="000000"/>
          <w:lang w:val="pt-PT"/>
        </w:rPr>
        <w:t>desempenho em inovação sustentável</w:t>
      </w:r>
      <w:r>
        <w:rPr>
          <w:rFonts w:eastAsia="Calibri"/>
          <w:color w:val="000000"/>
          <w:lang w:val="pt-PT"/>
        </w:rPr>
        <w:t xml:space="preserve">. Para examinar a </w:t>
      </w:r>
      <w:r w:rsidRPr="00DA12CB">
        <w:rPr>
          <w:rFonts w:eastAsia="Calibri"/>
          <w:i/>
          <w:iCs/>
          <w:color w:val="000000"/>
          <w:lang w:val="pt-PT"/>
        </w:rPr>
        <w:t>intensidade</w:t>
      </w:r>
      <w:r>
        <w:rPr>
          <w:rFonts w:eastAsia="Calibri"/>
          <w:color w:val="000000"/>
          <w:lang w:val="pt-PT"/>
        </w:rPr>
        <w:t xml:space="preserve">, caracterstica-chave de aprendizagem de fontes externas (Ferigotti </w:t>
      </w:r>
      <w:r w:rsidRPr="009D29CB">
        <w:t>&amp;</w:t>
      </w:r>
      <w:r>
        <w:rPr>
          <w:rFonts w:eastAsia="Calibri"/>
          <w:color w:val="000000"/>
          <w:lang w:val="pt-PT"/>
        </w:rPr>
        <w:t xml:space="preserve"> Figueiredo, 2005), oportunizado pela </w:t>
      </w:r>
      <w:r w:rsidRPr="00C629F9">
        <w:rPr>
          <w:rFonts w:eastAsia="Calibri"/>
          <w:i/>
          <w:iCs/>
          <w:color w:val="000000"/>
          <w:lang w:val="pt-PT"/>
        </w:rPr>
        <w:t xml:space="preserve">inovação aberta </w:t>
      </w:r>
      <w:r>
        <w:rPr>
          <w:rFonts w:eastAsia="Calibri"/>
          <w:color w:val="000000" w:themeColor="text1"/>
          <w:lang w:val="pt-PT"/>
        </w:rPr>
        <w:t xml:space="preserve">o critério adotado para operacionalizar este conceito levou em conta a natureza de canalização de fonte externa de conhecimento: 1) se usado e depois abandonado (uma vez), 2) se foi intermitente (para e anda), 3) ou se foi implementado continuamente (contínuo). </w:t>
      </w:r>
    </w:p>
    <w:p w14:paraId="41026FD8" w14:textId="77777777" w:rsidR="00EA4BDD" w:rsidRPr="00C629F9" w:rsidRDefault="00EA4BDD" w:rsidP="00EA4BDD">
      <w:pPr>
        <w:spacing w:before="120" w:after="120"/>
        <w:ind w:firstLine="709"/>
        <w:rPr>
          <w:rFonts w:eastAsia="Calibri"/>
          <w:color w:val="000000"/>
          <w:lang w:val="pt-PT"/>
        </w:rPr>
      </w:pPr>
      <w:r>
        <w:rPr>
          <w:rFonts w:eastAsia="Calibri"/>
          <w:color w:val="000000"/>
          <w:lang w:val="pt-PT"/>
        </w:rPr>
        <w:t xml:space="preserve">As evidências sugerem que </w:t>
      </w:r>
      <w:r w:rsidRPr="00DA12CB">
        <w:rPr>
          <w:rFonts w:eastAsia="Calibri"/>
          <w:color w:val="000000"/>
          <w:lang w:val="pt-PT"/>
        </w:rPr>
        <w:t>inovação aberta e aprendizagem ocorre</w:t>
      </w:r>
      <w:r>
        <w:rPr>
          <w:rFonts w:eastAsia="Calibri"/>
          <w:color w:val="000000"/>
          <w:lang w:val="pt-PT"/>
        </w:rPr>
        <w:t>ram</w:t>
      </w:r>
      <w:r w:rsidRPr="00DA12CB">
        <w:rPr>
          <w:rFonts w:eastAsia="Calibri"/>
          <w:color w:val="000000"/>
          <w:lang w:val="pt-PT"/>
        </w:rPr>
        <w:t xml:space="preserve"> </w:t>
      </w:r>
      <w:r>
        <w:rPr>
          <w:rFonts w:eastAsia="Calibri"/>
          <w:color w:val="000000"/>
          <w:lang w:val="pt-PT"/>
        </w:rPr>
        <w:t>via</w:t>
      </w:r>
      <w:r w:rsidRPr="00DA12CB">
        <w:rPr>
          <w:rFonts w:eastAsia="Calibri"/>
          <w:color w:val="000000"/>
          <w:lang w:val="pt-PT"/>
        </w:rPr>
        <w:t xml:space="preserve"> aquisição externa de conhecimento </w:t>
      </w:r>
      <w:r w:rsidRPr="00DA12CB">
        <w:rPr>
          <w:color w:val="333333"/>
          <w:shd w:val="clear" w:color="auto" w:fill="FFFFFF"/>
        </w:rPr>
        <w:t>em arranjos colaborativos.</w:t>
      </w:r>
      <w:r>
        <w:rPr>
          <w:color w:val="333333"/>
          <w:shd w:val="clear" w:color="auto" w:fill="FFFFFF"/>
        </w:rPr>
        <w:t xml:space="preserve"> Estes podem </w:t>
      </w:r>
      <w:r w:rsidRPr="00B366CA">
        <w:rPr>
          <w:color w:val="333333"/>
          <w:shd w:val="clear" w:color="auto" w:fill="FFFFFF"/>
        </w:rPr>
        <w:t>ter sido utilizad</w:t>
      </w:r>
      <w:r>
        <w:rPr>
          <w:color w:val="333333"/>
          <w:shd w:val="clear" w:color="auto" w:fill="FFFFFF"/>
        </w:rPr>
        <w:t>os</w:t>
      </w:r>
      <w:r w:rsidRPr="00B366CA">
        <w:rPr>
          <w:color w:val="333333"/>
          <w:shd w:val="clear" w:color="auto" w:fill="FFFFFF"/>
        </w:rPr>
        <w:t xml:space="preserve"> para complementar internamente o desenvolvimento da área de Pesquisa e Desenvolvimento (P&amp;D)</w:t>
      </w:r>
      <w:r>
        <w:rPr>
          <w:color w:val="333333"/>
          <w:shd w:val="clear" w:color="auto" w:fill="FFFFFF"/>
        </w:rPr>
        <w:t xml:space="preserve"> e da</w:t>
      </w:r>
      <w:r w:rsidRPr="002154AA">
        <w:rPr>
          <w:color w:val="333333"/>
          <w:shd w:val="clear" w:color="auto" w:fill="FFFFFF"/>
        </w:rPr>
        <w:t xml:space="preserve"> incubadora de base tecnológica</w:t>
      </w:r>
      <w:r w:rsidRPr="00363AD9">
        <w:rPr>
          <w:color w:val="333333"/>
          <w:shd w:val="clear" w:color="auto" w:fill="FFFFFF"/>
        </w:rPr>
        <w:t xml:space="preserve"> </w:t>
      </w:r>
      <w:r>
        <w:rPr>
          <w:color w:val="333333"/>
          <w:shd w:val="clear" w:color="auto" w:fill="FFFFFF"/>
        </w:rPr>
        <w:t>da companhia de saneamento</w:t>
      </w:r>
      <w:r w:rsidRPr="002154AA">
        <w:rPr>
          <w:color w:val="333333"/>
          <w:shd w:val="clear" w:color="auto" w:fill="FFFFFF"/>
        </w:rPr>
        <w:t>, hospedando projetos de pesquisa aplicada e experimental, com potencial para gerar produtos, processos ou serviços inovadores</w:t>
      </w:r>
      <w:r>
        <w:rPr>
          <w:color w:val="333333"/>
          <w:shd w:val="clear" w:color="auto" w:fill="FFFFFF"/>
        </w:rPr>
        <w:t xml:space="preserve"> Além de estimular a ICT, a desenvolver projetos de energia e saneamento, em sua incubadora de projetos. Assim sendo, </w:t>
      </w:r>
      <w:r>
        <w:rPr>
          <w:rFonts w:eastAsia="Calibri"/>
          <w:color w:val="000000"/>
          <w:lang w:val="pt-PT"/>
        </w:rPr>
        <w:t>d</w:t>
      </w:r>
      <w:r>
        <w:rPr>
          <w:rFonts w:eastAsia="Calibri"/>
          <w:color w:val="000000" w:themeColor="text1"/>
          <w:lang w:val="pt-PT"/>
        </w:rPr>
        <w:t xml:space="preserve">urante o período examinado </w:t>
      </w:r>
      <w:r w:rsidRPr="006D4E1F">
        <w:rPr>
          <w:rFonts w:eastAsiaTheme="minorHAnsi"/>
          <w:color w:val="333333"/>
          <w:kern w:val="2"/>
          <w:shd w:val="clear" w:color="auto" w:fill="FFFFFF"/>
          <w:lang w:eastAsia="en-US"/>
          <w14:ligatures w14:val="standardContextual"/>
        </w:rPr>
        <w:t>as cooperações técnicas</w:t>
      </w:r>
      <w:r w:rsidRPr="006D4E1F">
        <w:rPr>
          <w:rFonts w:eastAsiaTheme="minorHAnsi"/>
          <w:color w:val="333333"/>
          <w:kern w:val="2"/>
          <w:shd w:val="clear" w:color="auto" w:fill="FFFFFF"/>
          <w:vertAlign w:val="superscript"/>
          <w:lang w:eastAsia="en-US"/>
          <w14:ligatures w14:val="standardContextual"/>
        </w:rPr>
        <w:footnoteReference w:id="2"/>
      </w:r>
      <w:r w:rsidRPr="006D4E1F">
        <w:rPr>
          <w:rFonts w:eastAsiaTheme="minorHAnsi"/>
          <w:color w:val="333333"/>
          <w:kern w:val="2"/>
          <w:shd w:val="clear" w:color="auto" w:fill="FFFFFF"/>
          <w:lang w:eastAsia="en-US"/>
          <w14:ligatures w14:val="standardContextual"/>
        </w:rPr>
        <w:t xml:space="preserve"> </w:t>
      </w:r>
      <w:r>
        <w:rPr>
          <w:rFonts w:eastAsiaTheme="minorHAnsi"/>
          <w:color w:val="333333"/>
          <w:kern w:val="2"/>
          <w:shd w:val="clear" w:color="auto" w:fill="FFFFFF"/>
          <w:lang w:eastAsia="en-US"/>
          <w14:ligatures w14:val="standardContextual"/>
        </w:rPr>
        <w:t xml:space="preserve">foram mecanismos de aprendizagem contínuos, tanto na companhia de saneamento, quanto na ICT. Ambas as instituições o adotaram </w:t>
      </w:r>
      <w:r w:rsidRPr="00B366CA">
        <w:rPr>
          <w:color w:val="333333"/>
          <w:shd w:val="clear" w:color="auto" w:fill="FFFFFF"/>
        </w:rPr>
        <w:t>com foco de atenção de longo prazo</w:t>
      </w:r>
      <w:r>
        <w:rPr>
          <w:color w:val="333333"/>
          <w:shd w:val="clear" w:color="auto" w:fill="FFFFFF"/>
        </w:rPr>
        <w:t>,</w:t>
      </w:r>
      <w:r w:rsidRPr="00B366CA">
        <w:rPr>
          <w:color w:val="333333"/>
          <w:shd w:val="clear" w:color="auto" w:fill="FFFFFF"/>
        </w:rPr>
        <w:t xml:space="preserve"> </w:t>
      </w:r>
      <w:r>
        <w:rPr>
          <w:rFonts w:eastAsiaTheme="minorHAnsi"/>
          <w:color w:val="333333"/>
          <w:kern w:val="2"/>
          <w:shd w:val="clear" w:color="auto" w:fill="FFFFFF"/>
          <w:lang w:eastAsia="en-US"/>
          <w14:ligatures w14:val="standardContextual"/>
        </w:rPr>
        <w:t xml:space="preserve">de forma </w:t>
      </w:r>
      <w:r w:rsidRPr="00B366CA">
        <w:rPr>
          <w:color w:val="333333"/>
          <w:shd w:val="clear" w:color="auto" w:fill="FFFFFF"/>
        </w:rPr>
        <w:t>estratégica para efetividade organizacional</w:t>
      </w:r>
      <w:r>
        <w:rPr>
          <w:color w:val="333333"/>
          <w:shd w:val="clear" w:color="auto" w:fill="FFFFFF"/>
        </w:rPr>
        <w:t xml:space="preserve">.  </w:t>
      </w:r>
    </w:p>
    <w:p w14:paraId="15898B03" w14:textId="77777777" w:rsidR="00EA4BDD" w:rsidRPr="007260B0" w:rsidRDefault="00EA4BDD" w:rsidP="00EA4BDD">
      <w:pPr>
        <w:ind w:firstLine="709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Também entre</w:t>
      </w:r>
      <w:r w:rsidRPr="00B366CA">
        <w:rPr>
          <w:color w:val="333333"/>
          <w:shd w:val="clear" w:color="auto" w:fill="FFFFFF"/>
        </w:rPr>
        <w:t xml:space="preserve"> 2020 e 2024, a experimentação</w:t>
      </w:r>
      <w:r>
        <w:rPr>
          <w:color w:val="333333"/>
          <w:shd w:val="clear" w:color="auto" w:fill="FFFFFF"/>
        </w:rPr>
        <w:t xml:space="preserve"> em projetos, foi intermitente, com mentoria </w:t>
      </w:r>
      <w:r w:rsidRPr="00B366CA">
        <w:rPr>
          <w:color w:val="333333"/>
          <w:shd w:val="clear" w:color="auto" w:fill="FFFFFF"/>
        </w:rPr>
        <w:t xml:space="preserve">apoiada </w:t>
      </w:r>
      <w:r>
        <w:rPr>
          <w:color w:val="333333"/>
          <w:shd w:val="clear" w:color="auto" w:fill="FFFFFF"/>
        </w:rPr>
        <w:t>pela ICT e pela companhia de saneamento. Para tal foi desenvolvido o Primeiro Programa de Inovação Aberta, para acesso a conhecimento externo em tecnologias de água e saneamento, bem como acelerar a adequação do setor de saneamento às diretrizes do Novo Marco Regulatório, estimulando o sistema regional de inovação. As evidências sugerem que a incidência do mecanismo de aprendizagem, Primeiro Programa de Inovação Aberta</w:t>
      </w:r>
      <w:r w:rsidRPr="00DA12CB">
        <w:rPr>
          <w:color w:val="333333"/>
          <w:shd w:val="clear" w:color="auto" w:fill="FFFFFF"/>
        </w:rPr>
        <w:t xml:space="preserve"> </w:t>
      </w:r>
      <w:r>
        <w:rPr>
          <w:color w:val="333333"/>
          <w:shd w:val="clear" w:color="auto" w:fill="FFFFFF"/>
        </w:rPr>
        <w:t xml:space="preserve">foi uma vez, no período examinado. Ambas as instituições, buscaram </w:t>
      </w:r>
      <w:r w:rsidRPr="00B366CA">
        <w:rPr>
          <w:color w:val="333333"/>
          <w:shd w:val="clear" w:color="auto" w:fill="FFFFFF"/>
        </w:rPr>
        <w:t xml:space="preserve">atores relevantes para gerar ou apoiar a </w:t>
      </w:r>
      <w:r>
        <w:rPr>
          <w:color w:val="333333"/>
          <w:shd w:val="clear" w:color="auto" w:fill="FFFFFF"/>
        </w:rPr>
        <w:t>inovações sustentáveis</w:t>
      </w:r>
      <w:r w:rsidRPr="00B366CA">
        <w:rPr>
          <w:color w:val="333333"/>
          <w:shd w:val="clear" w:color="auto" w:fill="FFFFFF"/>
        </w:rPr>
        <w:t xml:space="preserve"> motivadas por considerações geoestratégicas, econômicas e financeiras e tornou-se uma </w:t>
      </w:r>
      <w:r>
        <w:rPr>
          <w:color w:val="333333"/>
          <w:shd w:val="clear" w:color="auto" w:fill="FFFFFF"/>
        </w:rPr>
        <w:t xml:space="preserve">prática, </w:t>
      </w:r>
      <w:r w:rsidRPr="00B366CA">
        <w:rPr>
          <w:color w:val="333333"/>
          <w:shd w:val="clear" w:color="auto" w:fill="FFFFFF"/>
        </w:rPr>
        <w:t>com intenção de usar a colaboração</w:t>
      </w:r>
      <w:r>
        <w:rPr>
          <w:color w:val="333333"/>
          <w:shd w:val="clear" w:color="auto" w:fill="FFFFFF"/>
        </w:rPr>
        <w:t>,</w:t>
      </w:r>
      <w:r w:rsidRPr="00B366CA">
        <w:rPr>
          <w:color w:val="333333"/>
          <w:shd w:val="clear" w:color="auto" w:fill="FFFFFF"/>
        </w:rPr>
        <w:t xml:space="preserve"> como uma oportunidade para aprender sobre tecnologias em saneamento.</w:t>
      </w:r>
      <w:r>
        <w:rPr>
          <w:color w:val="333333"/>
          <w:shd w:val="clear" w:color="auto" w:fill="FFFFFF"/>
        </w:rPr>
        <w:t xml:space="preserve"> </w:t>
      </w:r>
      <w:r w:rsidRPr="006F32A8">
        <w:t xml:space="preserve">O significado competitivo da tecnologia em saneamento tornou-se um importante fator de decisão das companhias, sobre de que maneira adquirir a melhor tecnologia. De fato, o Novo Marco Regulatório do Saneamento motivou a aprendizagem, em razões </w:t>
      </w:r>
      <w:r>
        <w:t>de</w:t>
      </w:r>
      <w:r w:rsidRPr="006F32A8">
        <w:t xml:space="preserve"> custo, tempo e complexidade </w:t>
      </w:r>
      <w:r>
        <w:t>tecnológica</w:t>
      </w:r>
      <w:r w:rsidRPr="006F32A8">
        <w:t>.</w:t>
      </w:r>
    </w:p>
    <w:p w14:paraId="58A6A7E3" w14:textId="77777777" w:rsidR="00EA4BDD" w:rsidRDefault="00EA4BDD" w:rsidP="00EA4BDD">
      <w:pPr>
        <w:spacing w:before="120" w:after="120"/>
        <w:ind w:firstLine="709"/>
      </w:pPr>
      <w:r>
        <w:rPr>
          <w:rFonts w:eastAsia="Calibri"/>
          <w:color w:val="000000"/>
        </w:rPr>
        <w:t xml:space="preserve">Por outro lado, </w:t>
      </w:r>
      <w:r>
        <w:rPr>
          <w:rFonts w:eastAsia="Calibri"/>
          <w:color w:val="000000"/>
          <w:lang w:val="pt-PT"/>
        </w:rPr>
        <w:t xml:space="preserve">estabelecer métricas de </w:t>
      </w:r>
      <w:r w:rsidRPr="009C487E">
        <w:rPr>
          <w:rFonts w:eastAsia="Calibri"/>
          <w:color w:val="000000"/>
          <w:lang w:val="pt-PT"/>
        </w:rPr>
        <w:t>desempenho em inovação sustentável</w:t>
      </w:r>
      <w:r>
        <w:rPr>
          <w:rFonts w:eastAsia="Calibri"/>
          <w:color w:val="000000"/>
          <w:lang w:val="pt-PT"/>
        </w:rPr>
        <w:t>,</w:t>
      </w:r>
      <w:r w:rsidRPr="00472E72">
        <w:t xml:space="preserve"> </w:t>
      </w:r>
      <w:r>
        <w:t xml:space="preserve">como direcionadores para o desenvolvimento das tecnologias nos projetos, serviram de base para compreender o desejo da direção positiva da inovação sustentável. Assim sendo, </w:t>
      </w:r>
      <w:r>
        <w:rPr>
          <w:rFonts w:eastAsia="Calibri"/>
          <w:color w:val="000000"/>
        </w:rPr>
        <w:t xml:space="preserve">as </w:t>
      </w:r>
      <w:r>
        <w:rPr>
          <w:rFonts w:eastAsia="Calibri"/>
          <w:color w:val="000000"/>
          <w:lang w:val="pt-PT"/>
        </w:rPr>
        <w:t xml:space="preserve">evidências sugerem que, </w:t>
      </w:r>
      <w:r>
        <w:t xml:space="preserve">experimentos de projetos como mecanismo de aprendizagem externa estimulados pelo arranjo colaborativo entre a ICT e a companhia de saneamento podem intensificar o desenvolvimento de inovação sustentável para o setor de infraestrutura de saneamento. </w:t>
      </w:r>
      <w:r w:rsidRPr="005537B0">
        <w:rPr>
          <w:rFonts w:cs="Arial"/>
          <w:color w:val="000000"/>
          <w:kern w:val="2"/>
        </w:rPr>
        <w:t xml:space="preserve">Neste estudo a ideia de sucesso da inovação sustentável é subjacente aos </w:t>
      </w:r>
      <w:r w:rsidRPr="005537B0">
        <w:rPr>
          <w:rFonts w:cs="Arial"/>
        </w:rPr>
        <w:t>desafios prioritári</w:t>
      </w:r>
      <w:r>
        <w:rPr>
          <w:rFonts w:cs="Arial"/>
        </w:rPr>
        <w:t>o</w:t>
      </w:r>
      <w:r w:rsidRPr="005537B0">
        <w:rPr>
          <w:rFonts w:cs="Arial"/>
        </w:rPr>
        <w:t xml:space="preserve">s, levando em consideração </w:t>
      </w:r>
      <w:r w:rsidRPr="005537B0">
        <w:rPr>
          <w:rFonts w:cs="Arial"/>
          <w:color w:val="000000"/>
          <w:kern w:val="2"/>
        </w:rPr>
        <w:t>o valor de uso, ao menor custo ambiental</w:t>
      </w:r>
      <w:r>
        <w:t xml:space="preserve">. Assim sendo, a criação de um Programa foi a solução para intensificar desenvolvimento de inovação tecnológica no setor de saneamento.  </w:t>
      </w:r>
    </w:p>
    <w:p w14:paraId="35E95CB3" w14:textId="77777777" w:rsidR="00C62F68" w:rsidRDefault="00C62F68">
      <w:pPr>
        <w:spacing w:before="120" w:after="120"/>
      </w:pPr>
    </w:p>
    <w:p w14:paraId="1A02A72C" w14:textId="77777777" w:rsidR="00AD1772" w:rsidRDefault="00AD1772">
      <w:pPr>
        <w:spacing w:before="120" w:after="120"/>
      </w:pPr>
    </w:p>
    <w:p w14:paraId="54960FB9" w14:textId="77777777" w:rsidR="00C62F68" w:rsidRDefault="008C2C1B">
      <w:pPr>
        <w:spacing w:before="120" w:after="120"/>
        <w:rPr>
          <w:b/>
        </w:rPr>
      </w:pPr>
      <w:r>
        <w:rPr>
          <w:b/>
        </w:rPr>
        <w:lastRenderedPageBreak/>
        <w:t xml:space="preserve">3. RESULTADOS </w:t>
      </w:r>
    </w:p>
    <w:p w14:paraId="2E1073F1" w14:textId="77777777" w:rsidR="00EA4BDD" w:rsidRDefault="00EA4BDD" w:rsidP="00EA4BDD">
      <w:pPr>
        <w:spacing w:before="120" w:after="120"/>
        <w:ind w:firstLine="709"/>
        <w:rPr>
          <w:rFonts w:eastAsia="Calibri"/>
          <w:lang w:val="pt-PT"/>
        </w:rPr>
      </w:pPr>
      <w:r w:rsidRPr="009E6DBC">
        <w:rPr>
          <w:rFonts w:eastAsia="Calibri"/>
          <w:lang w:val="pt-PT"/>
        </w:rPr>
        <w:t>Os resultados imediatos para os atores principais</w:t>
      </w:r>
      <w:r w:rsidRPr="009D29CB">
        <w:rPr>
          <w:rFonts w:eastAsia="Calibri"/>
          <w:lang w:val="pt-PT"/>
        </w:rPr>
        <w:t xml:space="preserve"> condizem com os efeitos das políticas regulatórias e o incremento do desenvolvimento sustentável, fortaleceram o comprometimento das instituições em colaboração com a inovação tecnológica. A orientação de missão de produtividade nas companhias, requerereu das instituições e transformações organizacionais,.</w:t>
      </w:r>
      <w:r w:rsidRPr="009D29CB">
        <w:t xml:space="preserve"> Como resultado imediato, os experimentos com projetos trouxeram soluções para desafios reais em quatro áreas principais colocadas pela </w:t>
      </w:r>
      <w:r w:rsidRPr="009D29CB">
        <w:rPr>
          <w:rFonts w:eastAsia="Calibri"/>
          <w:lang w:val="pt-PT"/>
        </w:rPr>
        <w:t>Agência Nacional de Águas</w:t>
      </w:r>
      <w:r w:rsidRPr="009D29CB">
        <w:t xml:space="preserve"> (ANA). Entre elas: </w:t>
      </w:r>
      <w:r w:rsidRPr="009D29CB">
        <w:rPr>
          <w:color w:val="525253"/>
          <w:shd w:val="clear" w:color="auto" w:fill="F7F8F9"/>
        </w:rPr>
        <w:t xml:space="preserve">i) </w:t>
      </w:r>
      <w:r w:rsidRPr="009D29CB">
        <w:t xml:space="preserve">Otimização de Processos Produtivos, </w:t>
      </w:r>
      <w:proofErr w:type="spellStart"/>
      <w:r w:rsidRPr="009D29CB">
        <w:t>ii</w:t>
      </w:r>
      <w:bookmarkStart w:id="0" w:name="_Hlk178611247"/>
      <w:proofErr w:type="spellEnd"/>
      <w:r w:rsidRPr="009D29CB">
        <w:t>)</w:t>
      </w:r>
      <w:bookmarkEnd w:id="0"/>
      <w:r w:rsidRPr="009D29CB">
        <w:t xml:space="preserve"> Desafios relacionados à otimização</w:t>
      </w:r>
      <w:r w:rsidRPr="008E41CE">
        <w:t xml:space="preserve"> dos processos produtivos, </w:t>
      </w:r>
      <w:proofErr w:type="spellStart"/>
      <w:r w:rsidRPr="008E41CE">
        <w:t>iii</w:t>
      </w:r>
      <w:proofErr w:type="spellEnd"/>
      <w:r w:rsidRPr="008E41CE">
        <w:t xml:space="preserve">) Infraestrutura resiliente e sustentável, </w:t>
      </w:r>
      <w:proofErr w:type="spellStart"/>
      <w:r w:rsidRPr="008E41CE">
        <w:t>iv</w:t>
      </w:r>
      <w:proofErr w:type="spellEnd"/>
      <w:r w:rsidRPr="008E41CE">
        <w:t>) Recursos hídricos e clima, v) Melhoria na relação com o cliente.</w:t>
      </w:r>
      <w:r w:rsidRPr="00330F59">
        <w:rPr>
          <w:rFonts w:eastAsia="Calibri"/>
          <w:lang w:val="pt-PT"/>
        </w:rPr>
        <w:t xml:space="preserve"> </w:t>
      </w:r>
      <w:r w:rsidRPr="008E41CE">
        <w:rPr>
          <w:rFonts w:eastAsia="Calibri"/>
          <w:lang w:val="pt-PT"/>
        </w:rPr>
        <w:t>Vale ressaltar que a</w:t>
      </w:r>
      <w:r>
        <w:rPr>
          <w:rFonts w:eastAsia="Calibri"/>
          <w:lang w:val="pt-PT"/>
        </w:rPr>
        <w:t>s</w:t>
      </w:r>
      <w:r w:rsidRPr="008E41CE">
        <w:rPr>
          <w:rFonts w:eastAsia="Calibri"/>
          <w:lang w:val="pt-PT"/>
        </w:rPr>
        <w:t xml:space="preserve"> soluç</w:t>
      </w:r>
      <w:r>
        <w:rPr>
          <w:rFonts w:eastAsia="Calibri"/>
          <w:lang w:val="pt-PT"/>
        </w:rPr>
        <w:t>ões</w:t>
      </w:r>
      <w:r w:rsidRPr="008E41CE">
        <w:rPr>
          <w:rFonts w:eastAsia="Calibri"/>
          <w:lang w:val="pt-PT"/>
        </w:rPr>
        <w:t xml:space="preserve"> tecnológica</w:t>
      </w:r>
      <w:r>
        <w:rPr>
          <w:rFonts w:eastAsia="Calibri"/>
          <w:lang w:val="pt-PT"/>
        </w:rPr>
        <w:t>s</w:t>
      </w:r>
      <w:r w:rsidRPr="008E41CE">
        <w:rPr>
          <w:rFonts w:eastAsia="Calibri"/>
          <w:lang w:val="pt-PT"/>
        </w:rPr>
        <w:t xml:space="preserve"> resultante se torn</w:t>
      </w:r>
      <w:r>
        <w:rPr>
          <w:rFonts w:eastAsia="Calibri"/>
          <w:lang w:val="pt-PT"/>
        </w:rPr>
        <w:t>aram</w:t>
      </w:r>
      <w:r w:rsidRPr="008E41CE">
        <w:rPr>
          <w:rFonts w:eastAsia="Calibri"/>
          <w:lang w:val="pt-PT"/>
        </w:rPr>
        <w:t xml:space="preserve"> objeto de propriedade intelectual,</w:t>
      </w:r>
      <w:r>
        <w:rPr>
          <w:rFonts w:eastAsia="Calibri"/>
          <w:lang w:val="pt-PT"/>
        </w:rPr>
        <w:t xml:space="preserve"> trazendo como resultado participação em royaltes, para as instituções em arranjo colaborativo e os fornecedores externos de soluções, pela escalabilidade das tecnologias desenvolvidas.</w:t>
      </w:r>
    </w:p>
    <w:p w14:paraId="483CB5B3" w14:textId="77777777" w:rsidR="00EA4BDD" w:rsidRDefault="00EA4BDD" w:rsidP="00EA4BDD">
      <w:pPr>
        <w:ind w:firstLine="709"/>
      </w:pPr>
      <w:r w:rsidRPr="00022289">
        <w:t xml:space="preserve">Além disso, a </w:t>
      </w:r>
      <w:proofErr w:type="spellStart"/>
      <w:r w:rsidRPr="00022289">
        <w:t>apropriabilidade</w:t>
      </w:r>
      <w:proofErr w:type="spellEnd"/>
      <w:r w:rsidRPr="00022289">
        <w:t xml:space="preserve"> de conhecimento intermitente com mentorias para projetos de inovação, permitiu que o conhecimento de fontes externas tenha sido transferido efetivamente pela experiencia e interações face a face e a capacidade dos parceiros em colaboração para aprender sobre tecnologias para saneamento.</w:t>
      </w:r>
      <w:r w:rsidRPr="00022289">
        <w:rPr>
          <w:color w:val="000000" w:themeColor="text1"/>
        </w:rPr>
        <w:t xml:space="preserve"> </w:t>
      </w:r>
      <w:r w:rsidRPr="009F61FE">
        <w:rPr>
          <w:color w:val="000000" w:themeColor="text1"/>
        </w:rPr>
        <w:t>Por exemplo, engenheiros especialistas foram alternadamente relatores e mentores de projetos para redução de perda de água</w:t>
      </w:r>
      <w:r>
        <w:rPr>
          <w:color w:val="000000" w:themeColor="text1"/>
        </w:rPr>
        <w:t>,</w:t>
      </w:r>
      <w:r w:rsidRPr="009F61FE">
        <w:rPr>
          <w:color w:val="000000" w:themeColor="text1"/>
        </w:rPr>
        <w:t xml:space="preserve"> a avaliação por pares como rotina de Pesquisa e desenvolvimento (</w:t>
      </w:r>
      <w:r w:rsidRPr="009F61FE">
        <w:rPr>
          <w:rFonts w:eastAsia="Calibri"/>
          <w:color w:val="000000" w:themeColor="text1"/>
          <w:spacing w:val="1"/>
          <w:lang w:val="pt-PT"/>
        </w:rPr>
        <w:t xml:space="preserve">Zahra e </w:t>
      </w:r>
      <w:r w:rsidRPr="009F61FE">
        <w:rPr>
          <w:rFonts w:eastAsia="Calibri"/>
          <w:caps/>
          <w:color w:val="000000" w:themeColor="text1"/>
          <w:spacing w:val="1"/>
          <w:lang w:val="pt-PT"/>
        </w:rPr>
        <w:t>G</w:t>
      </w:r>
      <w:r w:rsidRPr="009F61FE">
        <w:rPr>
          <w:rFonts w:eastAsia="Calibri"/>
          <w:color w:val="000000" w:themeColor="text1"/>
          <w:spacing w:val="1"/>
          <w:lang w:val="pt-PT"/>
        </w:rPr>
        <w:t>eorge</w:t>
      </w:r>
      <w:r>
        <w:rPr>
          <w:rFonts w:eastAsia="Calibri"/>
          <w:color w:val="000000" w:themeColor="text1"/>
          <w:spacing w:val="1"/>
          <w:lang w:val="pt-PT"/>
        </w:rPr>
        <w:t xml:space="preserve">, </w:t>
      </w:r>
      <w:r w:rsidRPr="009F61FE">
        <w:rPr>
          <w:rFonts w:eastAsia="Calibri"/>
          <w:color w:val="000000" w:themeColor="text1"/>
          <w:spacing w:val="1"/>
          <w:lang w:val="pt-PT"/>
        </w:rPr>
        <w:t>2002</w:t>
      </w:r>
      <w:r>
        <w:rPr>
          <w:rFonts w:eastAsia="Calibri"/>
          <w:color w:val="000000" w:themeColor="text1"/>
          <w:spacing w:val="1"/>
          <w:lang w:val="pt-PT"/>
        </w:rPr>
        <w:t xml:space="preserve">; </w:t>
      </w:r>
      <w:r w:rsidRPr="009F61FE">
        <w:rPr>
          <w:rFonts w:eastAsia="Calibri"/>
          <w:color w:val="000000" w:themeColor="text1"/>
          <w:spacing w:val="1"/>
          <w:lang w:val="pt-PT"/>
        </w:rPr>
        <w:t>Jansen et. al. 2005) adicionou valor para a organização</w:t>
      </w:r>
      <w:r>
        <w:rPr>
          <w:rFonts w:eastAsia="Calibri"/>
          <w:color w:val="000000" w:themeColor="text1"/>
          <w:spacing w:val="1"/>
          <w:lang w:val="pt-PT"/>
        </w:rPr>
        <w:t xml:space="preserve">. </w:t>
      </w:r>
      <w:r w:rsidRPr="009F61FE">
        <w:rPr>
          <w:rFonts w:eastAsia="Calibri"/>
          <w:color w:val="000000" w:themeColor="text1"/>
          <w:lang w:val="pt-PT"/>
        </w:rPr>
        <w:t xml:space="preserve">A aprendizagem, não foi  uma experiência aleatória, envolveu mudanças organizacionais padronizadas ao longo do tempo, com </w:t>
      </w:r>
      <w:r>
        <w:rPr>
          <w:rFonts w:eastAsia="Calibri"/>
          <w:color w:val="000000" w:themeColor="text1"/>
          <w:lang w:val="pt-PT"/>
        </w:rPr>
        <w:t xml:space="preserve">mecanismos </w:t>
      </w:r>
      <w:r w:rsidRPr="009F61FE">
        <w:rPr>
          <w:rFonts w:eastAsia="Calibri"/>
          <w:color w:val="000000" w:themeColor="text1"/>
          <w:lang w:val="pt-PT"/>
        </w:rPr>
        <w:t>de aprendizagem específico</w:t>
      </w:r>
      <w:r>
        <w:rPr>
          <w:rFonts w:eastAsia="Calibri"/>
          <w:color w:val="000000" w:themeColor="text1"/>
          <w:lang w:val="pt-PT"/>
        </w:rPr>
        <w:t>s</w:t>
      </w:r>
      <w:r w:rsidRPr="009F61FE">
        <w:rPr>
          <w:rFonts w:eastAsia="Calibri"/>
          <w:color w:val="000000" w:themeColor="text1"/>
          <w:lang w:val="pt-PT"/>
        </w:rPr>
        <w:t xml:space="preserve"> relacionado às experiências anteriores em P&amp;D</w:t>
      </w:r>
      <w:r>
        <w:rPr>
          <w:rFonts w:eastAsia="Calibri"/>
          <w:color w:val="000000" w:themeColor="text1"/>
          <w:lang w:val="pt-PT"/>
        </w:rPr>
        <w:t xml:space="preserve"> e de engenhria de ambos os atores envolvidos com inovação aberta </w:t>
      </w:r>
      <w:r w:rsidRPr="00022289">
        <w:rPr>
          <w:rFonts w:eastAsia="Calibri"/>
          <w:i/>
          <w:iCs/>
          <w:color w:val="000000" w:themeColor="text1"/>
          <w:lang w:val="pt-PT"/>
        </w:rPr>
        <w:t>inbound.</w:t>
      </w:r>
      <w:r>
        <w:rPr>
          <w:rFonts w:eastAsia="Calibri"/>
          <w:color w:val="000000" w:themeColor="text1"/>
          <w:lang w:val="pt-PT"/>
        </w:rPr>
        <w:t xml:space="preserve"> </w:t>
      </w:r>
    </w:p>
    <w:p w14:paraId="5C136300" w14:textId="77777777" w:rsidR="00EA4BDD" w:rsidRDefault="00EA4BDD" w:rsidP="00EA4BDD">
      <w:pPr>
        <w:spacing w:before="120" w:after="120"/>
        <w:ind w:firstLine="709"/>
        <w:rPr>
          <w:rFonts w:eastAsia="Calibri"/>
          <w:lang w:val="pt-PT"/>
        </w:rPr>
      </w:pPr>
      <w:r w:rsidRPr="009E6DBC">
        <w:t>Para além dos atores principais, os</w:t>
      </w:r>
      <w:r>
        <w:t xml:space="preserve"> resultados da iniciativa de realização de um arranjo colaborativo foi estimular a </w:t>
      </w:r>
      <w:r w:rsidRPr="00AA54A7">
        <w:rPr>
          <w:rFonts w:eastAsia="Calibri"/>
          <w:lang w:val="pt-PT"/>
        </w:rPr>
        <w:t xml:space="preserve">inovação aberta </w:t>
      </w:r>
      <w:r>
        <w:rPr>
          <w:rFonts w:eastAsia="Calibri"/>
          <w:lang w:val="pt-PT"/>
        </w:rPr>
        <w:t>como</w:t>
      </w:r>
      <w:r w:rsidRPr="00AA54A7">
        <w:rPr>
          <w:rFonts w:eastAsia="Calibri"/>
          <w:lang w:val="pt-PT"/>
        </w:rPr>
        <w:t xml:space="preserve"> principal elemento que emergiu para o desenvolvimento</w:t>
      </w:r>
      <w:r>
        <w:rPr>
          <w:rFonts w:eastAsia="Calibri"/>
          <w:lang w:val="pt-PT"/>
        </w:rPr>
        <w:t xml:space="preserve"> de inovações sustentáveis para o setor de saneamento. </w:t>
      </w:r>
      <w:r w:rsidRPr="00734E4E">
        <w:t>Também o novo conhecimento desenvolvido nos projetos influenciou o desenvolvimento de processos, particularmente aqueles relacionados aos compromissos definidos pelo novo Marco Lega</w:t>
      </w:r>
      <w:r>
        <w:t>l</w:t>
      </w:r>
      <w:r w:rsidRPr="00734E4E">
        <w:t xml:space="preserve"> do </w:t>
      </w:r>
      <w:r>
        <w:t>S</w:t>
      </w:r>
      <w:r w:rsidRPr="00734E4E">
        <w:t>aneamento Básico</w:t>
      </w:r>
      <w:r>
        <w:t xml:space="preserve">, visto que a </w:t>
      </w:r>
      <w:r w:rsidRPr="008E41CE">
        <w:rPr>
          <w:rFonts w:eastAsia="Calibri"/>
          <w:lang w:val="pt-PT"/>
        </w:rPr>
        <w:t>lógica da gestão de infraestrutura está sendo desafiada para diferenciação em termos de custo, disponibilidade e qualidade ao longo do espaço e do tempo</w:t>
      </w:r>
      <w:r>
        <w:rPr>
          <w:rFonts w:eastAsia="Calibri"/>
          <w:lang w:val="pt-PT"/>
        </w:rPr>
        <w:t xml:space="preserve">. </w:t>
      </w:r>
    </w:p>
    <w:p w14:paraId="6EC9E212" w14:textId="77777777" w:rsidR="00EA4BDD" w:rsidRDefault="00EA4BDD" w:rsidP="00EA4BDD">
      <w:pPr>
        <w:spacing w:before="120" w:after="120"/>
        <w:ind w:firstLine="709"/>
        <w:rPr>
          <w:rFonts w:eastAsia="Calibri"/>
          <w:lang w:val="pt-PT"/>
        </w:rPr>
      </w:pPr>
      <w:r w:rsidRPr="008E41CE">
        <w:rPr>
          <w:rFonts w:eastAsia="Calibri"/>
          <w:lang w:val="pt-PT"/>
        </w:rPr>
        <w:t xml:space="preserve">Desde </w:t>
      </w:r>
      <w:bookmarkStart w:id="1" w:name="_Hlk178157073"/>
      <w:r w:rsidRPr="008E41CE">
        <w:rPr>
          <w:rFonts w:eastAsia="Calibri"/>
          <w:lang w:val="pt-PT"/>
        </w:rPr>
        <w:t>a modificação de regulações ambientais para serviços públicos de saneamento, as atividades econômicas do setor se alteraram, introduzindo a participação de empresas privadas, trazendo a competição para o mercado</w:t>
      </w:r>
      <w:bookmarkEnd w:id="1"/>
      <w:r w:rsidRPr="008E41CE">
        <w:rPr>
          <w:rFonts w:eastAsia="Calibri"/>
          <w:lang w:val="pt-PT"/>
        </w:rPr>
        <w:t>.</w:t>
      </w:r>
      <w:r>
        <w:rPr>
          <w:rFonts w:eastAsia="Calibri"/>
          <w:lang w:val="pt-PT"/>
        </w:rPr>
        <w:t xml:space="preserve"> Assim sendo, a inovação aberta aplicada a este caso traz elementos de resultados positivos também para os varios atores envolvidos no setor. Até os </w:t>
      </w:r>
      <w:r w:rsidRPr="008E41CE">
        <w:rPr>
          <w:rFonts w:eastAsia="Calibri"/>
          <w:lang w:val="pt-PT"/>
        </w:rPr>
        <w:t>vinculado a redes de fornecedores, distribuidores e consumidores de utilidade pública, como água potável, serviços de resíduos e saneamento</w:t>
      </w:r>
      <w:r>
        <w:rPr>
          <w:rFonts w:eastAsia="Calibri"/>
          <w:lang w:val="pt-PT"/>
        </w:rPr>
        <w:t xml:space="preserve">. </w:t>
      </w:r>
    </w:p>
    <w:p w14:paraId="51F2BC08" w14:textId="77777777" w:rsidR="00EA4BDD" w:rsidRDefault="00EA4BDD" w:rsidP="00EA4BDD">
      <w:pPr>
        <w:spacing w:before="120" w:after="120"/>
        <w:ind w:firstLine="709"/>
      </w:pPr>
      <w:r w:rsidRPr="008E41CE">
        <w:rPr>
          <w:rFonts w:eastAsia="Calibri"/>
          <w:lang w:val="pt-PT"/>
        </w:rPr>
        <w:t xml:space="preserve">Diante disto, há lacunas em conhecimento especializado, recorrendo a </w:t>
      </w:r>
      <w:r>
        <w:rPr>
          <w:rFonts w:eastAsia="Calibri"/>
          <w:lang w:val="pt-PT"/>
        </w:rPr>
        <w:t xml:space="preserve">fontes </w:t>
      </w:r>
      <w:r w:rsidRPr="008E41CE">
        <w:rPr>
          <w:rFonts w:eastAsia="Calibri"/>
          <w:lang w:val="pt-PT"/>
        </w:rPr>
        <w:t>múltiplas transformações para incremento da dinâmica de mercado dentro e entre as companhias que fazem parte do setor de saneamento</w:t>
      </w:r>
      <w:r>
        <w:rPr>
          <w:rFonts w:eastAsia="Calibri"/>
          <w:lang w:val="pt-PT"/>
        </w:rPr>
        <w:t>. Mais do que isso,</w:t>
      </w:r>
      <w:r w:rsidRPr="00022289">
        <w:t xml:space="preserve"> </w:t>
      </w:r>
      <w:r w:rsidRPr="00B366CA">
        <w:t>os resultados da inovação</w:t>
      </w:r>
      <w:r>
        <w:t xml:space="preserve"> aberta</w:t>
      </w:r>
      <w:r w:rsidRPr="00B366CA">
        <w:t xml:space="preserve">, </w:t>
      </w:r>
      <w:r>
        <w:t xml:space="preserve">também </w:t>
      </w:r>
      <w:r w:rsidRPr="00B366CA">
        <w:t>afetam a economia ou meio ambiente e são influenciados por externalidades, tais como a redução de impactos ambientais ou melhoria de saúde. De fato, ao articular o conceito de sustentabilidade com inovação este se relaciona positivamente co</w:t>
      </w:r>
      <w:r>
        <w:t>m</w:t>
      </w:r>
      <w:r w:rsidRPr="00B366CA">
        <w:t xml:space="preserve"> desempenho econômico e ambiental</w:t>
      </w:r>
      <w:r>
        <w:rPr>
          <w:rFonts w:eastAsia="Calibri"/>
          <w:lang w:val="pt-PT"/>
        </w:rPr>
        <w:t xml:space="preserve"> </w:t>
      </w:r>
    </w:p>
    <w:p w14:paraId="4CA23080" w14:textId="77777777" w:rsidR="00AD1772" w:rsidRDefault="00AD1772">
      <w:pPr>
        <w:spacing w:before="120" w:after="120"/>
        <w:rPr>
          <w:b/>
        </w:rPr>
      </w:pPr>
    </w:p>
    <w:p w14:paraId="6E4483D4" w14:textId="77777777" w:rsidR="00AD1772" w:rsidRDefault="00AD1772">
      <w:pPr>
        <w:spacing w:before="120" w:after="120"/>
        <w:rPr>
          <w:b/>
        </w:rPr>
      </w:pPr>
    </w:p>
    <w:p w14:paraId="0397736D" w14:textId="77777777" w:rsidR="00AD1772" w:rsidRDefault="00AD1772">
      <w:pPr>
        <w:spacing w:before="120" w:after="120"/>
        <w:rPr>
          <w:b/>
        </w:rPr>
      </w:pPr>
    </w:p>
    <w:p w14:paraId="1524EF34" w14:textId="5582522D" w:rsidR="00C62F68" w:rsidRDefault="008C2C1B">
      <w:pPr>
        <w:spacing w:before="120" w:after="120"/>
        <w:rPr>
          <w:b/>
        </w:rPr>
      </w:pPr>
      <w:r>
        <w:rPr>
          <w:b/>
        </w:rPr>
        <w:lastRenderedPageBreak/>
        <w:t>4. CONTRIBUIÇÕES</w:t>
      </w:r>
    </w:p>
    <w:p w14:paraId="32198EB2" w14:textId="77777777" w:rsidR="00EA4BDD" w:rsidRDefault="00EA4BDD" w:rsidP="00EA4BDD">
      <w:pPr>
        <w:spacing w:before="120" w:after="120"/>
        <w:ind w:firstLine="709"/>
        <w:rPr>
          <w:rFonts w:eastAsia="Calibri"/>
          <w:color w:val="000000"/>
          <w:lang w:val="pt-PT"/>
        </w:rPr>
      </w:pPr>
      <w:r>
        <w:t>Os principais benefícios econômicos, sociais, ambientais e tecnológicos são contribuir para o</w:t>
      </w:r>
      <w:r w:rsidRPr="006B75D4">
        <w:rPr>
          <w:rFonts w:eastAsia="Calibri"/>
          <w:color w:val="000000"/>
          <w:lang w:val="pt-PT"/>
        </w:rPr>
        <w:t xml:space="preserve"> entendimento de indicadores de desempenho em inovação sustentável relevantes para o setor de saneamento básico no contexto do novo Marco Regulat</w:t>
      </w:r>
      <w:r>
        <w:rPr>
          <w:rFonts w:eastAsia="Calibri"/>
          <w:color w:val="000000"/>
          <w:lang w:val="pt-PT"/>
        </w:rPr>
        <w:t>ó</w:t>
      </w:r>
      <w:r w:rsidRPr="006B75D4">
        <w:rPr>
          <w:rFonts w:eastAsia="Calibri"/>
          <w:color w:val="000000"/>
          <w:lang w:val="pt-PT"/>
        </w:rPr>
        <w:t>rio de Saneamento Básico</w:t>
      </w:r>
      <w:r>
        <w:rPr>
          <w:rFonts w:eastAsia="Calibri"/>
          <w:color w:val="000000"/>
          <w:lang w:val="pt-PT"/>
        </w:rPr>
        <w:t>.</w:t>
      </w:r>
    </w:p>
    <w:p w14:paraId="19840B7F" w14:textId="77777777" w:rsidR="00EA4BDD" w:rsidRPr="007D0DBC" w:rsidRDefault="00EA4BDD" w:rsidP="00EA4BDD">
      <w:pPr>
        <w:rPr>
          <w:rFonts w:eastAsiaTheme="minorHAnsi"/>
          <w:color w:val="000000" w:themeColor="text1"/>
          <w:kern w:val="2"/>
          <w:lang w:val="pt-PT" w:eastAsia="en-US"/>
          <w14:ligatures w14:val="standardContextual"/>
        </w:rPr>
      </w:pPr>
      <w:r>
        <w:rPr>
          <w:rFonts w:eastAsia="Calibri"/>
          <w:color w:val="000000"/>
          <w:lang w:val="pt-PT"/>
        </w:rPr>
        <w:t xml:space="preserve">Em termos econômicos </w:t>
      </w:r>
      <w:r w:rsidRPr="006B75D4">
        <w:rPr>
          <w:rFonts w:eastAsia="Calibri"/>
          <w:color w:val="000000"/>
          <w:lang w:val="pt-PT"/>
        </w:rPr>
        <w:t>pod</w:t>
      </w:r>
      <w:r>
        <w:rPr>
          <w:rFonts w:eastAsia="Calibri"/>
          <w:color w:val="000000"/>
          <w:lang w:val="pt-PT"/>
        </w:rPr>
        <w:t>e</w:t>
      </w:r>
      <w:r w:rsidRPr="006B75D4">
        <w:rPr>
          <w:rFonts w:eastAsia="Calibri"/>
          <w:color w:val="000000"/>
          <w:lang w:val="pt-PT"/>
        </w:rPr>
        <w:t xml:space="preserve">-se concluir que </w:t>
      </w:r>
      <w:r>
        <w:rPr>
          <w:rFonts w:eastAsia="Calibri"/>
          <w:color w:val="000000"/>
          <w:lang w:val="pt-PT"/>
        </w:rPr>
        <w:t xml:space="preserve">os projetos selecionados </w:t>
      </w:r>
      <w:r w:rsidRPr="006B75D4">
        <w:rPr>
          <w:rFonts w:eastAsia="Calibri"/>
          <w:color w:val="000000"/>
          <w:lang w:val="pt-PT"/>
        </w:rPr>
        <w:t>encontraram os efeit</w:t>
      </w:r>
      <w:r>
        <w:rPr>
          <w:rFonts w:eastAsia="Calibri"/>
          <w:color w:val="000000"/>
          <w:lang w:val="pt-PT"/>
        </w:rPr>
        <w:t>o</w:t>
      </w:r>
      <w:r w:rsidRPr="006B75D4">
        <w:rPr>
          <w:rFonts w:eastAsia="Calibri"/>
          <w:color w:val="000000"/>
          <w:lang w:val="pt-PT"/>
        </w:rPr>
        <w:t>s da regulação como forma de est</w:t>
      </w:r>
      <w:r>
        <w:rPr>
          <w:rFonts w:eastAsia="Calibri"/>
          <w:color w:val="000000"/>
          <w:lang w:val="pt-PT"/>
        </w:rPr>
        <w:t>í</w:t>
      </w:r>
      <w:r w:rsidRPr="006B75D4">
        <w:rPr>
          <w:rFonts w:eastAsia="Calibri"/>
          <w:color w:val="000000"/>
          <w:lang w:val="pt-PT"/>
        </w:rPr>
        <w:t xml:space="preserve">mulo à inovação sustentável </w:t>
      </w:r>
      <w:r>
        <w:rPr>
          <w:rFonts w:eastAsia="Calibri"/>
          <w:color w:val="000000"/>
          <w:lang w:val="pt-PT"/>
        </w:rPr>
        <w:t xml:space="preserve">de </w:t>
      </w:r>
      <w:r w:rsidRPr="006B75D4">
        <w:rPr>
          <w:rFonts w:eastAsia="Calibri"/>
          <w:color w:val="000000"/>
          <w:lang w:val="pt-PT"/>
        </w:rPr>
        <w:t>forma positiv</w:t>
      </w:r>
      <w:r>
        <w:rPr>
          <w:rFonts w:eastAsia="Calibri"/>
          <w:color w:val="000000"/>
          <w:lang w:val="pt-PT"/>
        </w:rPr>
        <w:t>a</w:t>
      </w:r>
      <w:r w:rsidRPr="006B75D4">
        <w:rPr>
          <w:rFonts w:eastAsia="Calibri"/>
          <w:color w:val="000000"/>
          <w:lang w:val="pt-PT"/>
        </w:rPr>
        <w:t xml:space="preserve">. Os projetos aprovados estavam de acordo </w:t>
      </w:r>
      <w:r>
        <w:rPr>
          <w:rFonts w:eastAsia="Calibri"/>
          <w:color w:val="000000"/>
          <w:lang w:val="pt-PT"/>
        </w:rPr>
        <w:t xml:space="preserve">com </w:t>
      </w:r>
      <w:r w:rsidRPr="006B75D4">
        <w:rPr>
          <w:rFonts w:eastAsia="Calibri"/>
          <w:color w:val="000000"/>
          <w:lang w:val="pt-PT"/>
        </w:rPr>
        <w:t>os requisitos do novo Marco Legal do Saneamento Básico e da ANA. Na pe</w:t>
      </w:r>
      <w:r>
        <w:rPr>
          <w:rFonts w:eastAsia="Calibri"/>
          <w:color w:val="000000"/>
          <w:lang w:val="pt-PT"/>
        </w:rPr>
        <w:t xml:space="preserve">rsperctiva </w:t>
      </w:r>
      <w:r w:rsidRPr="006B75D4">
        <w:rPr>
          <w:rFonts w:eastAsia="Calibri"/>
          <w:color w:val="000000"/>
          <w:lang w:val="pt-PT"/>
        </w:rPr>
        <w:t>macroecon</w:t>
      </w:r>
      <w:r>
        <w:rPr>
          <w:rFonts w:eastAsia="Calibri"/>
          <w:color w:val="000000"/>
          <w:lang w:val="pt-PT"/>
        </w:rPr>
        <w:t>ô</w:t>
      </w:r>
      <w:r w:rsidRPr="006B75D4">
        <w:rPr>
          <w:rFonts w:eastAsia="Calibri"/>
          <w:color w:val="000000"/>
          <w:lang w:val="pt-PT"/>
        </w:rPr>
        <w:t>mica, a</w:t>
      </w:r>
      <w:r>
        <w:rPr>
          <w:rFonts w:eastAsia="Calibri"/>
          <w:color w:val="000000"/>
          <w:lang w:val="pt-PT"/>
        </w:rPr>
        <w:t xml:space="preserve">s instituções </w:t>
      </w:r>
      <w:r w:rsidRPr="006B75D4">
        <w:rPr>
          <w:rFonts w:eastAsia="Calibri"/>
          <w:color w:val="000000"/>
          <w:lang w:val="pt-PT"/>
        </w:rPr>
        <w:t>utiliz</w:t>
      </w:r>
      <w:r>
        <w:rPr>
          <w:rFonts w:eastAsia="Calibri"/>
          <w:color w:val="000000"/>
          <w:lang w:val="pt-PT"/>
        </w:rPr>
        <w:t xml:space="preserve">aram </w:t>
      </w:r>
      <w:r w:rsidRPr="006B75D4">
        <w:rPr>
          <w:rFonts w:eastAsia="Calibri"/>
          <w:color w:val="000000"/>
          <w:lang w:val="pt-PT"/>
        </w:rPr>
        <w:t>todos os instrumentos constitucionais</w:t>
      </w:r>
      <w:r>
        <w:rPr>
          <w:rFonts w:eastAsia="Calibri"/>
          <w:color w:val="000000"/>
          <w:lang w:val="pt-PT"/>
        </w:rPr>
        <w:t xml:space="preserve"> </w:t>
      </w:r>
      <w:r w:rsidRPr="006B75D4">
        <w:rPr>
          <w:rFonts w:eastAsia="Calibri"/>
          <w:color w:val="000000"/>
          <w:lang w:val="pt-PT"/>
        </w:rPr>
        <w:t xml:space="preserve">e legais para promover a inovação tecnológica, cumprindo normas e regulamentos existentes, </w:t>
      </w:r>
      <w:r w:rsidRPr="006B75D4">
        <w:t>em aperfeiçoamento contínuo dos procedimentos e processos para a realização da prestação de contas exigida pela Lei, a fim de ter-se evidências perante os órgãos de controle. Isso permite dizer que a condição macroeconômica em ofertar água boa para beber e proceder a serviços de saneamento estão sendo atendid</w:t>
      </w:r>
      <w:r>
        <w:t>a</w:t>
      </w:r>
      <w:r w:rsidRPr="006B75D4">
        <w:t>s pela companhia</w:t>
      </w:r>
      <w:r>
        <w:t xml:space="preserve"> de Sanemano e estimulados pela ICT. Sob a perspectiva tecnológica, </w:t>
      </w:r>
      <w:r w:rsidRPr="006B75D4">
        <w:t xml:space="preserve">os efeitos de interação </w:t>
      </w:r>
      <w:r>
        <w:t xml:space="preserve">entre as instituições envolvidas </w:t>
      </w:r>
      <w:r w:rsidRPr="006B75D4">
        <w:t xml:space="preserve">permitiram sugerir o desenvolvimento de capacidade de conhecimento regional e sistema de inovação em saneamento. </w:t>
      </w:r>
      <w:r w:rsidRPr="007D0DBC">
        <w:rPr>
          <w:rFonts w:eastAsiaTheme="minorHAnsi"/>
          <w:kern w:val="2"/>
          <w:lang w:eastAsia="en-US"/>
          <w14:ligatures w14:val="standardContextual"/>
        </w:rPr>
        <w:t>A inovação sustentável representa subconjuntos de sistemas de inovação e impacta o desempenho econômico e ambiental, ou seja, a assimilação de um processo novo para a organizaç</w:t>
      </w:r>
      <w:r w:rsidRPr="00EA4BDD">
        <w:rPr>
          <w:rFonts w:eastAsiaTheme="minorHAnsi"/>
          <w:kern w:val="2"/>
          <w:lang w:eastAsia="en-US"/>
          <w14:ligatures w14:val="standardContextual"/>
        </w:rPr>
        <w:t xml:space="preserve">ão, </w:t>
      </w:r>
      <w:r w:rsidRPr="00EA4BDD">
        <w:rPr>
          <w:rFonts w:eastAsia="Arial"/>
          <w:color w:val="000000" w:themeColor="text1"/>
          <w:lang w:val="pt-PT" w:eastAsia="en-US"/>
        </w:rPr>
        <w:t>que ao longo de seu ciclo de vida, resulta em redução</w:t>
      </w:r>
      <w:r w:rsidRPr="00EA4BDD">
        <w:rPr>
          <w:rFonts w:eastAsiaTheme="minorHAnsi"/>
          <w:kern w:val="2"/>
          <w:lang w:eastAsia="en-US"/>
          <w14:ligatures w14:val="standardContextual"/>
        </w:rPr>
        <w:t xml:space="preserve">. </w:t>
      </w:r>
      <w:r w:rsidRPr="00EA4BDD">
        <w:rPr>
          <w:rFonts w:eastAsia="Arial"/>
          <w:color w:val="000000" w:themeColor="text1"/>
          <w:lang w:val="pt-PT" w:eastAsia="en-US"/>
        </w:rPr>
        <w:t>no uso de recursos, incluindo energia em comparação com as alternativas relevantes, como e</w:t>
      </w:r>
      <w:r w:rsidRPr="00EA4BDD">
        <w:rPr>
          <w:rFonts w:eastAsiaTheme="minorHAnsi"/>
          <w:color w:val="000000" w:themeColor="text1"/>
          <w:kern w:val="2"/>
          <w:lang w:val="pt-PT" w:eastAsia="en-US"/>
          <w14:ligatures w14:val="standardContextual"/>
        </w:rPr>
        <w:t xml:space="preserve">m Buttol et al. (2012). </w:t>
      </w:r>
    </w:p>
    <w:p w14:paraId="79B9CFE4" w14:textId="01F44379" w:rsidR="00EA4BDD" w:rsidRPr="00AD1772" w:rsidRDefault="00EA4BDD" w:rsidP="00AD1772">
      <w:pPr>
        <w:spacing w:before="120" w:after="120"/>
        <w:ind w:firstLine="709"/>
      </w:pPr>
      <w:r>
        <w:t xml:space="preserve">Os principais benefícios práticos-gerenciais são compreender que, </w:t>
      </w:r>
      <w:r w:rsidRPr="006B75D4">
        <w:rPr>
          <w:rFonts w:eastAsia="Calibri"/>
          <w:color w:val="000000"/>
          <w:lang w:val="pt-PT"/>
        </w:rPr>
        <w:t xml:space="preserve">alavancar tecnologias e descobertas, requer o estabelecimento de relações interorganizacionais </w:t>
      </w:r>
      <w:r>
        <w:rPr>
          <w:rFonts w:eastAsia="Calibri"/>
          <w:color w:val="000000"/>
          <w:lang w:val="pt-PT"/>
        </w:rPr>
        <w:t>(</w:t>
      </w:r>
      <w:r w:rsidRPr="009D29CB">
        <w:rPr>
          <w:rFonts w:eastAsia="Calibri"/>
          <w:color w:val="000000"/>
          <w:lang w:val="pt-PT"/>
        </w:rPr>
        <w:t>Chesbrough</w:t>
      </w:r>
      <w:r>
        <w:rPr>
          <w:rFonts w:eastAsia="Calibri"/>
          <w:color w:val="000000"/>
          <w:lang w:val="pt-PT"/>
        </w:rPr>
        <w:t xml:space="preserve">, </w:t>
      </w:r>
      <w:r w:rsidRPr="009D29CB">
        <w:rPr>
          <w:rFonts w:eastAsia="Calibri"/>
          <w:color w:val="000000"/>
          <w:lang w:val="pt-PT"/>
        </w:rPr>
        <w:t>2004),</w:t>
      </w:r>
      <w:r w:rsidRPr="006B75D4">
        <w:rPr>
          <w:rFonts w:eastAsia="Calibri"/>
          <w:color w:val="000000"/>
          <w:lang w:val="pt-PT"/>
        </w:rPr>
        <w:t xml:space="preserve"> em suas definições de inovação aberta</w:t>
      </w:r>
      <w:r>
        <w:rPr>
          <w:rFonts w:eastAsia="Calibri"/>
          <w:color w:val="000000"/>
          <w:lang w:val="pt-PT"/>
        </w:rPr>
        <w:t>.</w:t>
      </w:r>
      <w:r w:rsidRPr="00852289">
        <w:rPr>
          <w:rFonts w:eastAsia="Calibri"/>
          <w:lang w:val="pt-PT"/>
        </w:rPr>
        <w:t xml:space="preserve"> </w:t>
      </w:r>
      <w:r w:rsidRPr="006B75D4">
        <w:rPr>
          <w:rFonts w:eastAsia="Calibri"/>
          <w:lang w:val="pt-PT"/>
        </w:rPr>
        <w:t xml:space="preserve">A maneira </w:t>
      </w:r>
      <w:r>
        <w:rPr>
          <w:rFonts w:eastAsia="Calibri"/>
          <w:lang w:val="pt-PT"/>
        </w:rPr>
        <w:t>como u</w:t>
      </w:r>
      <w:r w:rsidRPr="006B75D4">
        <w:rPr>
          <w:rFonts w:eastAsia="Calibri"/>
          <w:lang w:val="pt-PT"/>
        </w:rPr>
        <w:t xml:space="preserve">ma Companhia já estabelecida, adquiriu rapidamente conhecimento entre fornecedores de projetos, que antes não eram privilegiados, </w:t>
      </w:r>
      <w:r>
        <w:rPr>
          <w:rFonts w:eastAsia="Calibri"/>
          <w:lang w:val="pt-PT"/>
        </w:rPr>
        <w:t xml:space="preserve">na cadeia de fornecedores do setor de saneamento </w:t>
      </w:r>
      <w:r w:rsidRPr="006B75D4">
        <w:rPr>
          <w:rFonts w:eastAsia="Calibri"/>
          <w:lang w:val="pt-PT"/>
        </w:rPr>
        <w:t>jogou luzes sobre novas possibilidades de arranjo colaborativo para o setor</w:t>
      </w:r>
      <w:r>
        <w:rPr>
          <w:rFonts w:eastAsia="Calibri"/>
          <w:lang w:val="pt-PT"/>
        </w:rPr>
        <w:t xml:space="preserve">. </w:t>
      </w:r>
      <w:r w:rsidRPr="006B75D4">
        <w:rPr>
          <w:rFonts w:eastAsia="Calibri"/>
          <w:lang w:val="pt-PT"/>
        </w:rPr>
        <w:t>Sendo o Programa de Inovação Aberta a principal fonte de aquisição de conhecimento no per</w:t>
      </w:r>
      <w:r>
        <w:rPr>
          <w:rFonts w:eastAsia="Calibri"/>
          <w:lang w:val="pt-PT"/>
        </w:rPr>
        <w:t>í</w:t>
      </w:r>
      <w:r w:rsidRPr="006B75D4">
        <w:rPr>
          <w:rFonts w:eastAsia="Calibri"/>
          <w:lang w:val="pt-PT"/>
        </w:rPr>
        <w:t>odo em estudo</w:t>
      </w:r>
      <w:r>
        <w:rPr>
          <w:rFonts w:eastAsia="Calibri"/>
          <w:lang w:val="pt-PT"/>
        </w:rPr>
        <w:t xml:space="preserve">, </w:t>
      </w:r>
      <w:r w:rsidRPr="006B75D4">
        <w:rPr>
          <w:rFonts w:eastAsia="Calibri"/>
          <w:lang w:val="pt-PT"/>
        </w:rPr>
        <w:t xml:space="preserve">há </w:t>
      </w:r>
      <w:r>
        <w:rPr>
          <w:rFonts w:eastAsia="Calibri"/>
          <w:lang w:val="pt-PT"/>
        </w:rPr>
        <w:t xml:space="preserve">evidências que o sucesso de </w:t>
      </w:r>
      <w:r w:rsidRPr="006B75D4">
        <w:rPr>
          <w:rFonts w:eastAsia="Calibri"/>
          <w:lang w:val="pt-PT"/>
        </w:rPr>
        <w:t>parcerias corporativas</w:t>
      </w:r>
      <w:r>
        <w:rPr>
          <w:rFonts w:eastAsia="Calibri"/>
          <w:lang w:val="pt-PT"/>
        </w:rPr>
        <w:t xml:space="preserve"> para inovação aberta</w:t>
      </w:r>
      <w:r w:rsidRPr="006B75D4">
        <w:rPr>
          <w:rFonts w:eastAsia="Calibri"/>
          <w:lang w:val="pt-PT"/>
        </w:rPr>
        <w:t xml:space="preserve">, com relação interorganizacional de interesses complementares, independe de </w:t>
      </w:r>
      <w:r>
        <w:rPr>
          <w:rFonts w:eastAsia="Calibri"/>
          <w:lang w:val="pt-PT"/>
        </w:rPr>
        <w:t>e</w:t>
      </w:r>
      <w:r w:rsidRPr="006B75D4">
        <w:rPr>
          <w:rFonts w:eastAsia="Calibri"/>
          <w:lang w:val="pt-PT"/>
        </w:rPr>
        <w:t>nvergadura</w:t>
      </w:r>
      <w:r>
        <w:rPr>
          <w:rFonts w:eastAsia="Calibri"/>
          <w:lang w:val="pt-PT"/>
        </w:rPr>
        <w:t xml:space="preserve"> de seus parceiros de projetos</w:t>
      </w:r>
      <w:r w:rsidRPr="006B75D4">
        <w:rPr>
          <w:rFonts w:eastAsia="Calibri"/>
          <w:lang w:val="pt-PT"/>
        </w:rPr>
        <w:t>.</w:t>
      </w:r>
      <w:r w:rsidRPr="006B75D4">
        <w:t xml:space="preserve"> </w:t>
      </w:r>
      <w:r>
        <w:t>Além disso, e</w:t>
      </w:r>
      <w:r w:rsidRPr="006B75D4">
        <w:t xml:space="preserve">m termos gerenciais, a contribuição para o setor de saneamento é a identificação de práticas relevantes para o sucesso, tais como enfatizar o impacto positivo da inovação aberta no desempenho para </w:t>
      </w:r>
      <w:r>
        <w:t xml:space="preserve">a </w:t>
      </w:r>
      <w:r w:rsidRPr="006B75D4">
        <w:t xml:space="preserve">inovação sustentável.    </w:t>
      </w:r>
    </w:p>
    <w:p w14:paraId="686945FA" w14:textId="77777777" w:rsidR="00EA4BDD" w:rsidRDefault="00EA4BDD" w:rsidP="00EA4BDD">
      <w:pPr>
        <w:spacing w:before="120" w:after="120"/>
        <w:ind w:firstLine="709"/>
        <w:rPr>
          <w:rFonts w:cs="Arial"/>
          <w:kern w:val="2"/>
        </w:rPr>
      </w:pPr>
      <w:r>
        <w:rPr>
          <w:rFonts w:eastAsia="Calibri"/>
          <w:color w:val="000000"/>
        </w:rPr>
        <w:t>Aqui notadamente para as duas instituições em arranjo colaborativo, a</w:t>
      </w:r>
      <w:r>
        <w:rPr>
          <w:rFonts w:eastAsia="Calibri"/>
          <w:lang w:val="pt-PT"/>
        </w:rPr>
        <w:t xml:space="preserve"> contribuição significativa para os participantes foi entender que a </w:t>
      </w:r>
      <w:r w:rsidRPr="006B75D4">
        <w:rPr>
          <w:rFonts w:eastAsia="Calibri"/>
          <w:color w:val="000000"/>
        </w:rPr>
        <w:t>aprendizagem não foi aleatória, envolveu mudanças ao longo do tempo e o padrão específico de aprendizagem relacionou experiências anteriores.</w:t>
      </w:r>
      <w:r>
        <w:rPr>
          <w:rFonts w:eastAsia="Calibri"/>
          <w:color w:val="000000"/>
        </w:rPr>
        <w:t xml:space="preserve"> Fato este identificado pela prática de cooperações técnicas anteriormente realizadas de forma continua.</w:t>
      </w:r>
      <w:r w:rsidRPr="005C7614">
        <w:rPr>
          <w:rFonts w:cs="Arial"/>
          <w:kern w:val="2"/>
        </w:rPr>
        <w:t xml:space="preserve"> </w:t>
      </w:r>
    </w:p>
    <w:p w14:paraId="29AE743E" w14:textId="77777777" w:rsidR="00EA4BDD" w:rsidRDefault="00EA4BDD" w:rsidP="00EA4BDD">
      <w:pPr>
        <w:spacing w:before="120" w:after="120"/>
        <w:ind w:firstLine="709"/>
        <w:rPr>
          <w:rFonts w:eastAsia="Calibri"/>
          <w:color w:val="000000"/>
        </w:rPr>
      </w:pPr>
      <w:r>
        <w:rPr>
          <w:rFonts w:cs="Arial"/>
          <w:kern w:val="2"/>
        </w:rPr>
        <w:t xml:space="preserve">Ainda em termos </w:t>
      </w:r>
      <w:r w:rsidRPr="005537B0">
        <w:rPr>
          <w:rFonts w:cs="Arial"/>
          <w:kern w:val="2"/>
        </w:rPr>
        <w:t xml:space="preserve">gerenciais, </w:t>
      </w:r>
      <w:r>
        <w:rPr>
          <w:rFonts w:cs="Arial"/>
          <w:kern w:val="2"/>
        </w:rPr>
        <w:t>o estudo</w:t>
      </w:r>
      <w:r w:rsidRPr="005537B0">
        <w:rPr>
          <w:rFonts w:cs="Arial"/>
          <w:kern w:val="2"/>
        </w:rPr>
        <w:t xml:space="preserve"> permitiu uma melhor compreensão da importância da capacidade de absorção de conhecimento no setor de saneamento e </w:t>
      </w:r>
      <w:r>
        <w:rPr>
          <w:rFonts w:cs="Arial"/>
          <w:kern w:val="2"/>
        </w:rPr>
        <w:t xml:space="preserve">sugere </w:t>
      </w:r>
      <w:r w:rsidRPr="005537B0">
        <w:rPr>
          <w:rFonts w:cs="Arial"/>
          <w:kern w:val="2"/>
        </w:rPr>
        <w:t xml:space="preserve">que a </w:t>
      </w:r>
      <w:r>
        <w:rPr>
          <w:rFonts w:cs="Arial"/>
          <w:kern w:val="2"/>
        </w:rPr>
        <w:t xml:space="preserve">inovação aberta </w:t>
      </w:r>
      <w:r w:rsidRPr="005537B0">
        <w:rPr>
          <w:rFonts w:cs="Arial"/>
          <w:i/>
          <w:iCs/>
          <w:kern w:val="2"/>
        </w:rPr>
        <w:t>inbound</w:t>
      </w:r>
      <w:r w:rsidRPr="005537B0">
        <w:rPr>
          <w:rFonts w:cs="Arial"/>
          <w:kern w:val="2"/>
        </w:rPr>
        <w:t xml:space="preserve"> é a dimensão mais importante para melhorar o desempenho para inovação sustentável. Isso significa que a aplicação do conhecimento por meio de experimentação e projetos de inovação aberta pode contribuir com evidências empíricas em outros estudos sobre saneamento.</w:t>
      </w:r>
    </w:p>
    <w:p w14:paraId="2ABC1FF2" w14:textId="77777777" w:rsidR="00C62F68" w:rsidRDefault="00C62F68">
      <w:pPr>
        <w:spacing w:before="120" w:after="120"/>
      </w:pPr>
    </w:p>
    <w:p w14:paraId="3041376A" w14:textId="77777777" w:rsidR="00AD1772" w:rsidRDefault="00AD1772">
      <w:pPr>
        <w:spacing w:before="120" w:after="120"/>
      </w:pPr>
    </w:p>
    <w:p w14:paraId="49EE46C1" w14:textId="77777777" w:rsidR="00AD1772" w:rsidRDefault="00AD1772">
      <w:pPr>
        <w:spacing w:before="120" w:after="120"/>
      </w:pPr>
    </w:p>
    <w:p w14:paraId="0E224316" w14:textId="77777777" w:rsidR="00C62F68" w:rsidRDefault="008C2C1B">
      <w:pPr>
        <w:spacing w:before="120" w:after="120"/>
        <w:jc w:val="center"/>
        <w:rPr>
          <w:b/>
        </w:rPr>
      </w:pPr>
      <w:r>
        <w:rPr>
          <w:b/>
        </w:rPr>
        <w:lastRenderedPageBreak/>
        <w:t>AGRADECIMENTOS</w:t>
      </w:r>
    </w:p>
    <w:p w14:paraId="212B5AEC" w14:textId="77777777" w:rsidR="008C2C1B" w:rsidRPr="005537B0" w:rsidRDefault="008C2C1B" w:rsidP="008C2C1B">
      <w:pPr>
        <w:ind w:firstLine="851"/>
      </w:pPr>
      <w:r w:rsidRPr="005537B0">
        <w:rPr>
          <w:rFonts w:cs="Arial"/>
          <w:kern w:val="2"/>
        </w:rPr>
        <w:t>Sou grata à</w:t>
      </w:r>
      <w:r>
        <w:rPr>
          <w:rFonts w:cs="Arial"/>
          <w:kern w:val="2"/>
        </w:rPr>
        <w:t>s</w:t>
      </w:r>
      <w:r w:rsidRPr="005537B0">
        <w:rPr>
          <w:rFonts w:cs="Arial"/>
          <w:kern w:val="2"/>
        </w:rPr>
        <w:t xml:space="preserve"> </w:t>
      </w:r>
      <w:r>
        <w:rPr>
          <w:rFonts w:cs="Arial"/>
          <w:kern w:val="2"/>
        </w:rPr>
        <w:t>Instituições</w:t>
      </w:r>
      <w:r w:rsidRPr="005537B0">
        <w:rPr>
          <w:rFonts w:cs="Arial"/>
          <w:kern w:val="2"/>
        </w:rPr>
        <w:t>, pela anuência para a realização deste estudo.</w:t>
      </w:r>
      <w:r w:rsidRPr="005C7614">
        <w:t xml:space="preserve"> </w:t>
      </w:r>
      <w:r w:rsidRPr="005537B0">
        <w:t xml:space="preserve">Ainda reconheço com gratidão o tempo e a cooperação especiais dos profissionais de ambas as instituições e das </w:t>
      </w:r>
      <w:r w:rsidRPr="005537B0">
        <w:rPr>
          <w:i/>
          <w:iCs/>
        </w:rPr>
        <w:t>startups</w:t>
      </w:r>
      <w:r w:rsidRPr="005537B0">
        <w:t xml:space="preserve">, que participaram de trabalhos de campo para concretizar este estudo. </w:t>
      </w:r>
    </w:p>
    <w:p w14:paraId="305434B5" w14:textId="77777777" w:rsidR="00C62F68" w:rsidRDefault="00C62F68">
      <w:pPr>
        <w:spacing w:before="120" w:after="120"/>
      </w:pPr>
    </w:p>
    <w:p w14:paraId="615CF075" w14:textId="77777777" w:rsidR="00AD1772" w:rsidRDefault="00AD1772">
      <w:pPr>
        <w:spacing w:before="120" w:after="120"/>
        <w:jc w:val="center"/>
        <w:rPr>
          <w:b/>
          <w:lang w:val="en-US"/>
        </w:rPr>
      </w:pPr>
    </w:p>
    <w:p w14:paraId="2976D713" w14:textId="12CD19A1" w:rsidR="00C62F68" w:rsidRDefault="008C2C1B">
      <w:pPr>
        <w:spacing w:before="120" w:after="120"/>
        <w:jc w:val="center"/>
        <w:rPr>
          <w:b/>
          <w:lang w:val="en-US"/>
        </w:rPr>
      </w:pPr>
      <w:r w:rsidRPr="00E54E51">
        <w:rPr>
          <w:b/>
          <w:lang w:val="en-US"/>
        </w:rPr>
        <w:t>REFERENCIAS</w:t>
      </w:r>
    </w:p>
    <w:p w14:paraId="545BD337" w14:textId="77777777" w:rsidR="00EA4BDD" w:rsidRDefault="00EA4BDD">
      <w:pPr>
        <w:spacing w:before="120" w:after="120"/>
        <w:jc w:val="center"/>
        <w:rPr>
          <w:b/>
          <w:lang w:val="en-US"/>
        </w:rPr>
      </w:pPr>
    </w:p>
    <w:p w14:paraId="5F4D357E" w14:textId="77777777" w:rsidR="00EA4BDD" w:rsidRDefault="00EA4BDD" w:rsidP="00EA4BDD">
      <w:pPr>
        <w:spacing w:before="100" w:beforeAutospacing="1" w:after="100" w:afterAutospacing="1"/>
        <w:rPr>
          <w:lang w:val="en-US"/>
        </w:rPr>
      </w:pPr>
      <w:r w:rsidRPr="006419F9">
        <w:rPr>
          <w:lang w:val="en-US"/>
        </w:rPr>
        <w:t>BUTTOL, P.; BUONAMICI, R.; NALDESI, L.; RINALDI, C.; ZAMAGNI, A.; MASONI, P. Integrating services and tools in an ICT platform to support eco-innovation in SMEs. Clean Technological Environmental Policy, 14(2), p. 211–221, 2012.</w:t>
      </w:r>
    </w:p>
    <w:p w14:paraId="192BDA52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t xml:space="preserve">CHESBROUGH, H. </w:t>
      </w:r>
      <w:r w:rsidRPr="0066225E">
        <w:rPr>
          <w:i/>
          <w:iCs/>
          <w:lang w:val="en-US"/>
        </w:rPr>
        <w:t>Open innovation: the new imperative for creating and profiting from technology</w:t>
      </w:r>
      <w:r w:rsidRPr="0066225E">
        <w:rPr>
          <w:lang w:val="en-US"/>
        </w:rPr>
        <w:t>. Boston, MA: Harvard Business School Press, 2003.</w:t>
      </w:r>
    </w:p>
    <w:p w14:paraId="426349B7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t xml:space="preserve">CHESBROUGH, H. </w:t>
      </w:r>
      <w:r w:rsidRPr="0066225E">
        <w:rPr>
          <w:i/>
          <w:iCs/>
          <w:lang w:val="en-US"/>
        </w:rPr>
        <w:t>Open innovation: the new imperative for creating and profiting from technology</w:t>
      </w:r>
      <w:r w:rsidRPr="0066225E">
        <w:rPr>
          <w:lang w:val="en-US"/>
        </w:rPr>
        <w:t>. Boston, MA: Harvard Business School Press, 2004.</w:t>
      </w:r>
    </w:p>
    <w:p w14:paraId="760FC7B8" w14:textId="77777777" w:rsidR="008C2C1B" w:rsidRPr="0066225E" w:rsidRDefault="008C2C1B" w:rsidP="008C2C1B">
      <w:pPr>
        <w:spacing w:before="100" w:beforeAutospacing="1" w:after="100" w:afterAutospacing="1"/>
      </w:pPr>
      <w:r w:rsidRPr="0066225E">
        <w:rPr>
          <w:lang w:val="en-US"/>
        </w:rPr>
        <w:t xml:space="preserve">CHESBROUGH, H.; RADZIWON, A.; VANHAVERBEKE, W. </w:t>
      </w:r>
      <w:r w:rsidRPr="0066225E">
        <w:rPr>
          <w:i/>
          <w:iCs/>
          <w:lang w:val="en-US"/>
        </w:rPr>
        <w:t>The Oxford handbook of open innovation</w:t>
      </w:r>
      <w:r w:rsidRPr="0066225E">
        <w:rPr>
          <w:lang w:val="en-US"/>
        </w:rPr>
        <w:t xml:space="preserve">. Oxford: Oxford University Press, 2024. </w:t>
      </w:r>
      <w:proofErr w:type="spellStart"/>
      <w:r w:rsidRPr="0066225E">
        <w:rPr>
          <w:lang w:val="en-US"/>
        </w:rPr>
        <w:t>Disponível</w:t>
      </w:r>
      <w:proofErr w:type="spellEnd"/>
      <w:r w:rsidRPr="0066225E">
        <w:rPr>
          <w:lang w:val="en-US"/>
        </w:rPr>
        <w:t xml:space="preserve"> </w:t>
      </w:r>
      <w:proofErr w:type="spellStart"/>
      <w:r w:rsidRPr="0066225E">
        <w:rPr>
          <w:lang w:val="en-US"/>
        </w:rPr>
        <w:t>em</w:t>
      </w:r>
      <w:proofErr w:type="spellEnd"/>
      <w:r w:rsidRPr="0066225E">
        <w:rPr>
          <w:lang w:val="en-US"/>
        </w:rPr>
        <w:t xml:space="preserve">: </w:t>
      </w:r>
      <w:hyperlink r:id="rId10" w:history="1">
        <w:r w:rsidRPr="0066225E">
          <w:rPr>
            <w:color w:val="0000FF"/>
            <w:u w:val="single"/>
            <w:lang w:val="en-US"/>
          </w:rPr>
          <w:t>https://doi.org/10.1093/oxfordhb/9780192899798.001.0001</w:t>
        </w:r>
      </w:hyperlink>
      <w:r w:rsidRPr="0066225E">
        <w:rPr>
          <w:lang w:val="en-US"/>
        </w:rPr>
        <w:t xml:space="preserve">. </w:t>
      </w:r>
      <w:r w:rsidRPr="0066225E">
        <w:t xml:space="preserve">Acesso em: 22 </w:t>
      </w:r>
      <w:r>
        <w:t>jun</w:t>
      </w:r>
      <w:r w:rsidRPr="0066225E">
        <w:t>. 202</w:t>
      </w:r>
      <w:r>
        <w:t>5</w:t>
      </w:r>
      <w:r w:rsidRPr="0066225E">
        <w:t>.</w:t>
      </w:r>
    </w:p>
    <w:p w14:paraId="566DE0AB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t xml:space="preserve">DANTAS DA SILVA, K. C.; CAVALCANTE DE AMORIM, M. C. Inovação no setor de saneamento: estudo bibliométrico da produção científica e patentária. </w:t>
      </w:r>
      <w:r w:rsidRPr="0066225E">
        <w:rPr>
          <w:i/>
          <w:iCs/>
        </w:rPr>
        <w:t>Desenvolvimento em Questão</w:t>
      </w:r>
      <w:r w:rsidRPr="0066225E">
        <w:t xml:space="preserve">, v. 21, n. 59, e13465, 2023. Disponível em: </w:t>
      </w:r>
      <w:hyperlink r:id="rId11" w:history="1">
        <w:r w:rsidRPr="0066225E">
          <w:rPr>
            <w:color w:val="0000FF"/>
            <w:u w:val="single"/>
          </w:rPr>
          <w:t>https://doi.org/10.21527/2237-6453.2023.59.1346</w:t>
        </w:r>
      </w:hyperlink>
      <w:r w:rsidRPr="0066225E">
        <w:t xml:space="preserve">. </w:t>
      </w:r>
      <w:proofErr w:type="spellStart"/>
      <w:r w:rsidRPr="0066225E">
        <w:rPr>
          <w:lang w:val="en-US"/>
        </w:rPr>
        <w:t>Acesso</w:t>
      </w:r>
      <w:proofErr w:type="spellEnd"/>
      <w:r w:rsidRPr="0066225E">
        <w:rPr>
          <w:lang w:val="en-US"/>
        </w:rPr>
        <w:t xml:space="preserve"> </w:t>
      </w:r>
      <w:proofErr w:type="spellStart"/>
      <w:r w:rsidRPr="0066225E">
        <w:rPr>
          <w:lang w:val="en-US"/>
        </w:rPr>
        <w:t>em</w:t>
      </w:r>
      <w:proofErr w:type="spellEnd"/>
      <w:r w:rsidRPr="0066225E">
        <w:rPr>
          <w:lang w:val="en-US"/>
        </w:rPr>
        <w:t xml:space="preserve">: </w:t>
      </w:r>
      <w:r>
        <w:rPr>
          <w:lang w:val="en-US"/>
        </w:rPr>
        <w:t>0</w:t>
      </w:r>
      <w:r w:rsidRPr="0066225E">
        <w:rPr>
          <w:lang w:val="en-US"/>
        </w:rPr>
        <w:t xml:space="preserve">3 </w:t>
      </w:r>
      <w:proofErr w:type="spellStart"/>
      <w:r>
        <w:rPr>
          <w:lang w:val="en-US"/>
        </w:rPr>
        <w:t>jul</w:t>
      </w:r>
      <w:r w:rsidRPr="0066225E">
        <w:rPr>
          <w:lang w:val="en-US"/>
        </w:rPr>
        <w:t>.</w:t>
      </w:r>
      <w:proofErr w:type="spellEnd"/>
      <w:r w:rsidRPr="0066225E">
        <w:rPr>
          <w:lang w:val="en-US"/>
        </w:rPr>
        <w:t xml:space="preserve"> 202</w:t>
      </w:r>
      <w:r>
        <w:rPr>
          <w:lang w:val="en-US"/>
        </w:rPr>
        <w:t>5</w:t>
      </w:r>
      <w:r w:rsidRPr="0066225E">
        <w:rPr>
          <w:lang w:val="en-US"/>
        </w:rPr>
        <w:t>.</w:t>
      </w:r>
    </w:p>
    <w:p w14:paraId="5050DFA7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t xml:space="preserve">FERIGOTTI, C.; FIGUEIREDO, P. N. Managing learning in the refrigerator industry: evidence from a firm-level study in Brazil. </w:t>
      </w:r>
      <w:proofErr w:type="spellStart"/>
      <w:r w:rsidRPr="0066225E">
        <w:rPr>
          <w:i/>
          <w:iCs/>
        </w:rPr>
        <w:t>Innovation</w:t>
      </w:r>
      <w:proofErr w:type="spellEnd"/>
      <w:r w:rsidRPr="0066225E">
        <w:t xml:space="preserve">, v. 7, n. 2-3, p. 222–239, 2005. Disponível em: </w:t>
      </w:r>
      <w:hyperlink r:id="rId12" w:history="1">
        <w:r w:rsidRPr="0066225E">
          <w:rPr>
            <w:color w:val="0000FF"/>
            <w:u w:val="single"/>
          </w:rPr>
          <w:t>https://doi.org/10.5172/impp.2005.7.2-3.222</w:t>
        </w:r>
      </w:hyperlink>
      <w:r w:rsidRPr="0066225E">
        <w:t xml:space="preserve">. </w:t>
      </w:r>
      <w:proofErr w:type="spellStart"/>
      <w:r w:rsidRPr="0066225E">
        <w:rPr>
          <w:lang w:val="en-US"/>
        </w:rPr>
        <w:t>Acesso</w:t>
      </w:r>
      <w:proofErr w:type="spellEnd"/>
      <w:r w:rsidRPr="0066225E">
        <w:rPr>
          <w:lang w:val="en-US"/>
        </w:rPr>
        <w:t xml:space="preserve"> </w:t>
      </w:r>
      <w:proofErr w:type="spellStart"/>
      <w:r w:rsidRPr="0066225E">
        <w:rPr>
          <w:lang w:val="en-US"/>
        </w:rPr>
        <w:t>em</w:t>
      </w:r>
      <w:proofErr w:type="spellEnd"/>
      <w:r w:rsidRPr="0066225E">
        <w:rPr>
          <w:lang w:val="en-US"/>
        </w:rPr>
        <w:t xml:space="preserve">: </w:t>
      </w:r>
      <w:r>
        <w:rPr>
          <w:lang w:val="en-US"/>
        </w:rPr>
        <w:t>0</w:t>
      </w:r>
      <w:r w:rsidRPr="0066225E">
        <w:rPr>
          <w:lang w:val="en-US"/>
        </w:rPr>
        <w:t xml:space="preserve">3 </w:t>
      </w:r>
      <w:proofErr w:type="spellStart"/>
      <w:r>
        <w:rPr>
          <w:lang w:val="en-US"/>
        </w:rPr>
        <w:t>jul</w:t>
      </w:r>
      <w:r w:rsidRPr="0066225E">
        <w:rPr>
          <w:lang w:val="en-US"/>
        </w:rPr>
        <w:t>.</w:t>
      </w:r>
      <w:proofErr w:type="spellEnd"/>
      <w:r w:rsidRPr="0066225E">
        <w:rPr>
          <w:lang w:val="en-US"/>
        </w:rPr>
        <w:t xml:space="preserve"> 202</w:t>
      </w:r>
      <w:r>
        <w:rPr>
          <w:lang w:val="en-US"/>
        </w:rPr>
        <w:t>5</w:t>
      </w:r>
      <w:r w:rsidRPr="0066225E">
        <w:rPr>
          <w:lang w:val="en-US"/>
        </w:rPr>
        <w:t>.</w:t>
      </w:r>
    </w:p>
    <w:p w14:paraId="49A0FA36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t xml:space="preserve">GRANSTRAND, O.; HOLGERSSON, M. Innovation ecosystems: a conceptual review and a new definition. </w:t>
      </w:r>
      <w:proofErr w:type="spellStart"/>
      <w:r w:rsidRPr="0066225E">
        <w:rPr>
          <w:i/>
          <w:iCs/>
          <w:lang w:val="en-US"/>
        </w:rPr>
        <w:t>Technovation</w:t>
      </w:r>
      <w:proofErr w:type="spellEnd"/>
      <w:r w:rsidRPr="0066225E">
        <w:rPr>
          <w:lang w:val="en-US"/>
        </w:rPr>
        <w:t>, v. 90-91, 2020.</w:t>
      </w:r>
    </w:p>
    <w:p w14:paraId="3FABBCB7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t xml:space="preserve">JANSEN, J.; VAN DEN BOSCH, F.; VOLBERDA, H. Managing potential and realized absorptive capacity: how do organizational antecedents’ matter? </w:t>
      </w:r>
      <w:r w:rsidRPr="0066225E">
        <w:rPr>
          <w:i/>
          <w:iCs/>
          <w:lang w:val="en-US"/>
        </w:rPr>
        <w:t>The Academy of Management Journal</w:t>
      </w:r>
      <w:r w:rsidRPr="0066225E">
        <w:rPr>
          <w:lang w:val="en-US"/>
        </w:rPr>
        <w:t>, v. 48, n. 6, p. 999-1015, 2005.</w:t>
      </w:r>
    </w:p>
    <w:p w14:paraId="3A737CD1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t xml:space="preserve">KNUDSEN, M. P.; TRANEKAJER, T. L.; CANTNER, U. Open innovation in an international perspective: how to organize for (radical) product innovation. In: BREM, A.; VIADORT, E. (org.). </w:t>
      </w:r>
      <w:r w:rsidRPr="0066225E">
        <w:rPr>
          <w:i/>
          <w:iCs/>
          <w:lang w:val="en-US"/>
        </w:rPr>
        <w:t>Revolution of innovation management: internationalization and business models</w:t>
      </w:r>
      <w:r w:rsidRPr="0066225E">
        <w:rPr>
          <w:lang w:val="en-US"/>
        </w:rPr>
        <w:t>. London: Palgrave Macmillan, 2016. v. 2, p. 15-40.</w:t>
      </w:r>
    </w:p>
    <w:p w14:paraId="7B882A93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t xml:space="preserve">MALERBA, F. Learning by firms and incremental technical change. </w:t>
      </w:r>
      <w:r w:rsidRPr="0066225E">
        <w:rPr>
          <w:i/>
          <w:iCs/>
          <w:lang w:val="en-US"/>
        </w:rPr>
        <w:t>The Economic Journal</w:t>
      </w:r>
      <w:r w:rsidRPr="0066225E">
        <w:rPr>
          <w:lang w:val="en-US"/>
        </w:rPr>
        <w:t>, v. 102, p. 845-859, 1992.</w:t>
      </w:r>
    </w:p>
    <w:p w14:paraId="31D642A3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lastRenderedPageBreak/>
        <w:t xml:space="preserve">MILES, M. B.; HUBERMAN, A. M. </w:t>
      </w:r>
      <w:r w:rsidRPr="0066225E">
        <w:rPr>
          <w:i/>
          <w:iCs/>
          <w:lang w:val="en-US"/>
        </w:rPr>
        <w:t>Qualitative data analysis: an expanded sourcebook</w:t>
      </w:r>
      <w:r w:rsidRPr="0066225E">
        <w:rPr>
          <w:lang w:val="en-US"/>
        </w:rPr>
        <w:t>. Thousand Oaks, CA: Sage Publications, 1994.</w:t>
      </w:r>
    </w:p>
    <w:p w14:paraId="03C73D29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t xml:space="preserve">TEECE, D. J.; PISANO, G.; SHUEN, A. Dynamic capabilities and strategic management. </w:t>
      </w:r>
      <w:r w:rsidRPr="0066225E">
        <w:rPr>
          <w:i/>
          <w:iCs/>
          <w:lang w:val="en-US"/>
        </w:rPr>
        <w:t>Strategic Management Journal</w:t>
      </w:r>
      <w:r w:rsidRPr="0066225E">
        <w:rPr>
          <w:lang w:val="en-US"/>
        </w:rPr>
        <w:t>, v. 18, n. 7, p. 509-533, 1997.</w:t>
      </w:r>
    </w:p>
    <w:p w14:paraId="0D820E7C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t xml:space="preserve">ZAHRA, S.; GEORGE, G. Absorptive capacity: a review, reconceptualization and extension. </w:t>
      </w:r>
      <w:r w:rsidRPr="0066225E">
        <w:rPr>
          <w:i/>
          <w:iCs/>
          <w:lang w:val="en-US"/>
        </w:rPr>
        <w:t>Academy of Management Review</w:t>
      </w:r>
      <w:r w:rsidRPr="0066225E">
        <w:rPr>
          <w:lang w:val="en-US"/>
        </w:rPr>
        <w:t>, v. 27, p. 185-203, 2002.</w:t>
      </w:r>
    </w:p>
    <w:p w14:paraId="5172748D" w14:textId="77777777" w:rsidR="008C2C1B" w:rsidRPr="0066225E" w:rsidRDefault="008C2C1B" w:rsidP="008C2C1B">
      <w:pPr>
        <w:spacing w:before="100" w:beforeAutospacing="1" w:after="100" w:afterAutospacing="1"/>
        <w:rPr>
          <w:lang w:val="en-US"/>
        </w:rPr>
      </w:pPr>
      <w:r w:rsidRPr="0066225E">
        <w:rPr>
          <w:lang w:val="en-US"/>
        </w:rPr>
        <w:t xml:space="preserve">YIN, R. K. </w:t>
      </w:r>
      <w:r w:rsidRPr="0066225E">
        <w:rPr>
          <w:i/>
          <w:iCs/>
          <w:lang w:val="en-US"/>
        </w:rPr>
        <w:t>Case study research: design and methods</w:t>
      </w:r>
      <w:r w:rsidRPr="0066225E">
        <w:rPr>
          <w:lang w:val="en-US"/>
        </w:rPr>
        <w:t>. 5. ed. Thousand Oaks, CA: Sage Publications, 2015.</w:t>
      </w:r>
    </w:p>
    <w:p w14:paraId="2EEE2655" w14:textId="77777777" w:rsidR="008C2C1B" w:rsidRPr="009E75EC" w:rsidRDefault="008C2C1B" w:rsidP="008C2C1B">
      <w:pPr>
        <w:rPr>
          <w:b/>
          <w:lang w:val="en-US"/>
        </w:rPr>
      </w:pPr>
    </w:p>
    <w:p w14:paraId="65FF960A" w14:textId="77777777" w:rsidR="008C2C1B" w:rsidRPr="008C2C1B" w:rsidRDefault="008C2C1B">
      <w:pPr>
        <w:spacing w:before="120" w:after="120"/>
        <w:jc w:val="center"/>
        <w:rPr>
          <w:b/>
          <w:lang w:val="en-US"/>
        </w:rPr>
      </w:pPr>
    </w:p>
    <w:sectPr w:rsidR="008C2C1B" w:rsidRPr="008C2C1B">
      <w:headerReference w:type="first" r:id="rId13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68D71" w14:textId="77777777" w:rsidR="008C2C1B" w:rsidRDefault="008C2C1B">
      <w:r>
        <w:separator/>
      </w:r>
    </w:p>
  </w:endnote>
  <w:endnote w:type="continuationSeparator" w:id="0">
    <w:p w14:paraId="41B4ECA4" w14:textId="77777777" w:rsidR="008C2C1B" w:rsidRDefault="008C2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376ED" w14:textId="74B36220" w:rsidR="00C62F68" w:rsidRDefault="008C2C1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3</w:t>
    </w:r>
    <w:r>
      <w:rPr>
        <w:color w:val="000000"/>
      </w:rPr>
      <w:fldChar w:fldCharType="end"/>
    </w:r>
  </w:p>
  <w:p w14:paraId="5D2660A6" w14:textId="77777777" w:rsidR="00C62F68" w:rsidRDefault="00C62F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158A6" w14:textId="77777777" w:rsidR="00C62F68" w:rsidRDefault="008C2C1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754299DD" w14:textId="77777777" w:rsidR="00C62F68" w:rsidRDefault="00C62F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4DDBC" w14:textId="77777777" w:rsidR="008C2C1B" w:rsidRDefault="008C2C1B">
      <w:r>
        <w:separator/>
      </w:r>
    </w:p>
  </w:footnote>
  <w:footnote w:type="continuationSeparator" w:id="0">
    <w:p w14:paraId="140ACEC5" w14:textId="77777777" w:rsidR="008C2C1B" w:rsidRDefault="008C2C1B">
      <w:r>
        <w:continuationSeparator/>
      </w:r>
    </w:p>
  </w:footnote>
  <w:footnote w:id="1">
    <w:p w14:paraId="1DD7E02C" w14:textId="30475FA0" w:rsidR="00C62F68" w:rsidRPr="00E54E51" w:rsidRDefault="008C2C1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</w:t>
      </w:r>
      <w:r>
        <w:t xml:space="preserve">C.F.R. Inovação e Sustentabilidade, </w:t>
      </w:r>
      <w:hyperlink r:id="rId1" w:history="1">
        <w:r w:rsidRPr="0041710C">
          <w:rPr>
            <w:rStyle w:val="Hyperlink"/>
          </w:rPr>
          <w:t>cmferigotti@uol.com.br</w:t>
        </w:r>
      </w:hyperlink>
      <w:r>
        <w:rPr>
          <w:color w:val="000000"/>
          <w:sz w:val="20"/>
          <w:szCs w:val="20"/>
        </w:rPr>
        <w:t xml:space="preserve">. </w:t>
      </w:r>
    </w:p>
  </w:footnote>
  <w:footnote w:id="2">
    <w:p w14:paraId="0C839958" w14:textId="77777777" w:rsidR="00EA4BDD" w:rsidRPr="003665E8" w:rsidRDefault="00EA4BDD" w:rsidP="00EA4BDD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86070B" w14:textId="77777777" w:rsidR="00C62F68" w:rsidRDefault="00C62F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35A9C" w14:textId="77777777" w:rsidR="00C62F68" w:rsidRDefault="008C2C1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463FFFFA" wp14:editId="204BFA8E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4B880" w14:textId="77777777" w:rsidR="00C62F68" w:rsidRDefault="00C62F6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F68"/>
    <w:rsid w:val="0067278C"/>
    <w:rsid w:val="00787FAA"/>
    <w:rsid w:val="008C2C1B"/>
    <w:rsid w:val="00AD1772"/>
    <w:rsid w:val="00B60A51"/>
    <w:rsid w:val="00C62F68"/>
    <w:rsid w:val="00E54E51"/>
    <w:rsid w:val="00EA4BDD"/>
    <w:rsid w:val="00F27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1892F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yperlink" Target="https://doi.org/10.5172/impp.2005.7.2-3.22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yperlink" Target="https://doi.org/10.21527/2237-6453.2023.59.1346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s://doi.org/10.1093/oxfordhb/9780192899798.001.0001" TargetMode="Externa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cmferigotti@uol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2951</Words>
  <Characters>15939</Characters>
  <Application>Microsoft Office Word</Application>
  <DocSecurity>0</DocSecurity>
  <Lines>132</Lines>
  <Paragraphs>37</Paragraphs>
  <ScaleCrop>false</ScaleCrop>
  <Company/>
  <LinksUpToDate>false</LinksUpToDate>
  <CharactersWithSpaces>18853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2025-07-14T21:24:00Z</dcterms:created>
  <dcterms:modified xsi:type="dcterms:W3CDTF">2025-07-14T21:24:00Z</dcterms:modified>
</cp:coreProperties>
</file>