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IA CONSTRUINDO O FUTURO DO IMOBILIÁRIO: COLABORAÇÃO ENTRE SEBRAE SC, GRUPO BROGNOLI E TXM METHODS NA PROMOÇÃO DA INOVAÇÃO ABERTA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  <w:t xml:space="preserve">Flora Moritz da Silva</w:t>
      </w:r>
      <w:r w:rsidDel="00000000" w:rsidR="00000000" w:rsidRPr="00000000">
        <w:rPr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  <w:t xml:space="preserve">; Luiz Salomão Ribas Gomez</w:t>
      </w:r>
      <w:r w:rsidDel="00000000" w:rsidR="00000000" w:rsidRPr="00000000">
        <w:rPr>
          <w:vertAlign w:val="superscript"/>
        </w:rPr>
        <w:footnoteReference w:customMarkFollows="0" w:id="1"/>
      </w:r>
      <w:r w:rsidDel="00000000" w:rsidR="00000000" w:rsidRPr="00000000">
        <w:rPr>
          <w:rtl w:val="0"/>
        </w:rPr>
        <w:t xml:space="preserve">; Patrick Veiga</w:t>
      </w:r>
      <w:r w:rsidDel="00000000" w:rsidR="00000000" w:rsidRPr="00000000">
        <w:rPr>
          <w:vertAlign w:val="superscript"/>
        </w:rPr>
        <w:footnoteReference w:customMarkFollows="0" w:id="2"/>
      </w:r>
      <w:r w:rsidDel="00000000" w:rsidR="00000000" w:rsidRPr="00000000">
        <w:rPr>
          <w:rtl w:val="0"/>
        </w:rPr>
        <w:t xml:space="preserve">; Maiara Gizeli Dallazen Camillo</w:t>
      </w:r>
      <w:r w:rsidDel="00000000" w:rsidR="00000000" w:rsidRPr="00000000">
        <w:rPr>
          <w:vertAlign w:val="superscript"/>
        </w:rPr>
        <w:footnoteReference w:customMarkFollows="0" w:id="3"/>
      </w:r>
      <w:r w:rsidDel="00000000" w:rsidR="00000000" w:rsidRPr="00000000">
        <w:rPr>
          <w:rtl w:val="0"/>
        </w:rPr>
        <w:t xml:space="preserve">; Matheus Aliardi Puls</w:t>
      </w:r>
      <w:r w:rsidDel="00000000" w:rsidR="00000000" w:rsidRPr="00000000">
        <w:rPr>
          <w:vertAlign w:val="superscript"/>
        </w:rPr>
        <w:footnoteReference w:customMarkFollows="0" w:id="4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RESUMO</w:t>
      </w:r>
    </w:p>
    <w:p w:rsidR="00000000" w:rsidDel="00000000" w:rsidP="00000000" w:rsidRDefault="00000000" w:rsidRPr="00000000" w14:paraId="00000005">
      <w:pPr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 inovação aberta tem se consolidado como uma estratégia fundamental para o desenvolvimento e a competitividade, permitindo que empresas estabelecidas colaborem com startups para gerar soluções disruptivas. Este artigo apresenta o caso do PropVentures Lab by Brognoli, um programa de pré-aceleração que exemplifica a colaboração estratégica entre a TXM Methods, o Grupo Brognoli – uma tradicional empresa do mercado imobiliário – e o Sebrae/SC. O programa, executado pelo método TXM Match, teve como objetivo impulsionar startups com soluções de Inteligência Artificial (IA) para o setor. A eficácia da metodologia foi validada por resultados positivos. O programa alcançou um Net Promoter Score (NPS) de 88, com 93,8% das startups concluintes afirmando que seus negócios evoluíram. O impacto no mercado foi igualmente notável, com pelo menos seis empresas captando algum tipo de investimento e 25% relatando aumento de receita durante ou até um mês após o programa. Este estudo de caso detalha a concepção e execução do PropVentures Lab, analisando seu impacto na transformação digital do mercado imobiliário e sua contribuição como um modelo de inovação replicável para o ecossistema brasileiro.</w:t>
      </w:r>
    </w:p>
    <w:p w:rsidR="00000000" w:rsidDel="00000000" w:rsidP="00000000" w:rsidRDefault="00000000" w:rsidRPr="00000000" w14:paraId="00000006">
      <w:pPr>
        <w:spacing w:after="120" w:before="120" w:lineRule="auto"/>
        <w:ind w:right="42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20" w:before="120" w:lineRule="auto"/>
        <w:rPr/>
      </w:pPr>
      <w:r w:rsidDel="00000000" w:rsidR="00000000" w:rsidRPr="00000000">
        <w:rPr>
          <w:b w:val="1"/>
          <w:rtl w:val="0"/>
        </w:rPr>
        <w:t xml:space="preserve">PALAVRAS-CHAVE</w:t>
      </w:r>
      <w:r w:rsidDel="00000000" w:rsidR="00000000" w:rsidRPr="00000000">
        <w:rPr>
          <w:rtl w:val="0"/>
        </w:rPr>
        <w:t xml:space="preserve">: Inovação Aberta, Mercado Imobiliário, Startups, Inteligência Artificial, Pré-aceleração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3"/>
        <w:gridCol w:w="5294"/>
        <w:tblGridChange w:id="0">
          <w:tblGrid>
            <w:gridCol w:w="3773"/>
            <w:gridCol w:w="5294"/>
          </w:tblGrid>
        </w:tblGridChange>
      </w:tblGrid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ATOR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PAPEL NO ECOSSISTEMA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after="120" w:before="120" w:lineRule="auto"/>
              <w:ind w:right="424"/>
              <w:rPr/>
            </w:pPr>
            <w:r w:rsidDel="00000000" w:rsidR="00000000" w:rsidRPr="00000000">
              <w:rPr>
                <w:rtl w:val="0"/>
              </w:rPr>
              <w:t xml:space="preserve">TXM Methods</w:t>
            </w:r>
          </w:p>
        </w:tc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Empresa de promoção de inovação aberta por meio de metodologia própria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spacing w:after="120" w:before="120" w:lineRule="auto"/>
              <w:ind w:right="424"/>
              <w:rPr/>
            </w:pPr>
            <w:r w:rsidDel="00000000" w:rsidR="00000000" w:rsidRPr="00000000">
              <w:rPr>
                <w:rtl w:val="0"/>
              </w:rPr>
              <w:t xml:space="preserve">Sebrae/SC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Entidade de fomento ao empreendedorismo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after="120" w:before="120" w:lineRule="auto"/>
              <w:ind w:right="424"/>
              <w:rPr/>
            </w:pPr>
            <w:r w:rsidDel="00000000" w:rsidR="00000000" w:rsidRPr="00000000">
              <w:rPr>
                <w:rtl w:val="0"/>
              </w:rPr>
              <w:t xml:space="preserve">Grupo Brognoli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Corporação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after="120" w:before="120" w:lineRule="auto"/>
              <w:ind w:right="424"/>
              <w:rPr/>
            </w:pPr>
            <w:r w:rsidDel="00000000" w:rsidR="00000000" w:rsidRPr="00000000">
              <w:rPr>
                <w:rtl w:val="0"/>
              </w:rPr>
              <w:t xml:space="preserve">Startups Participantes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Startup Early Stage</w:t>
            </w:r>
          </w:p>
        </w:tc>
      </w:tr>
    </w:tbl>
    <w:p w:rsidR="00000000" w:rsidDel="00000000" w:rsidP="00000000" w:rsidRDefault="00000000" w:rsidRPr="00000000" w14:paraId="00000013">
      <w:pPr>
        <w:rPr/>
        <w:sectPr>
          <w:headerReference r:id="rId8" w:type="default"/>
          <w:headerReference r:id="rId9" w:type="first"/>
          <w:footerReference r:id="rId10" w:type="default"/>
          <w:footerReference r:id="rId11" w:type="first"/>
          <w:pgSz w:h="16838" w:w="11906" w:orient="portrait"/>
          <w:pgMar w:bottom="1134" w:top="1701" w:left="1701" w:right="1134" w:header="0" w:footer="709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highlight w:val="white"/>
        </w:rPr>
      </w:pPr>
      <w:r w:rsidDel="00000000" w:rsidR="00000000" w:rsidRPr="00000000">
        <w:rPr>
          <w:b w:val="1"/>
          <w:highlight w:val="white"/>
          <w:rtl w:val="0"/>
        </w:rPr>
        <w:t xml:space="preserve">1. SITUAÇÃO PROBLEMA DE OPEN INNOVATION </w:t>
      </w:r>
    </w:p>
    <w:p w:rsidR="00000000" w:rsidDel="00000000" w:rsidP="00000000" w:rsidRDefault="00000000" w:rsidRPr="00000000" w14:paraId="00000016">
      <w:pPr>
        <w:spacing w:line="276" w:lineRule="auto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ind w:firstLine="72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O mercado imobiliário, tradicionalmente conservador, tem sido impactado por uma onda de digitalização e inovação, impulsionada pela demanda por maior eficiência, transparência e novas experiências para clientes e profissionais. Nesse contexto, a inovação aberta surge como um caminho promissor para empresas do setor que buscam se adaptar e liderar essa transformação. </w:t>
      </w:r>
    </w:p>
    <w:p w:rsidR="00000000" w:rsidDel="00000000" w:rsidP="00000000" w:rsidRDefault="00000000" w:rsidRPr="00000000" w14:paraId="00000018">
      <w:pPr>
        <w:spacing w:line="276" w:lineRule="auto"/>
        <w:ind w:firstLine="720"/>
        <w:rPr/>
      </w:pPr>
      <w:r w:rsidDel="00000000" w:rsidR="00000000" w:rsidRPr="00000000">
        <w:rPr>
          <w:highlight w:val="white"/>
          <w:rtl w:val="0"/>
        </w:rPr>
        <w:t xml:space="preserve">A inovação aberta é um processo de inovação distribuído, baseado em fluxos de conhecimento gerenciados propositalmente para que atravessem as fronteiras organizacionais (Chesbrough; Bogers, 2018), ampliando o potencial inovativo e compartilhando riscos e investimentos. Embora a inovação aberta tenha se tornado uma arma competitiva importante em alguns setores como a tecnologia da informação, existem ainda setores que pouco exploram seu potencial. Segundo Li, Chau e Zeng (2023), por exemplo, a contribuição da indústria imobiliária é notável para economia global e regional, porém a sua atual evolução tecnológica e digital está atrasada em relação a outras indústrias devido a processos e sistemas solidificados e pela dificuldade na quebra de paradigmas e processos a muito tempo consolidados.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 INTERVENÇÃO</w:t>
      </w:r>
    </w:p>
    <w:p w:rsidR="00000000" w:rsidDel="00000000" w:rsidP="00000000" w:rsidRDefault="00000000" w:rsidRPr="00000000" w14:paraId="0000001A">
      <w:pPr>
        <w:spacing w:line="276" w:lineRule="auto"/>
        <w:ind w:firstLine="72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Como resposta a este desafio do setor, o PropVentures Lab by Brognoli surgiu como um exemplo de uso da inovação aberta, unindo a experiência e o conhecimento de mercado do Grupo Brognoli com a agilidade e o potencial inovador das proptechs, sob a coordenação da TXM Methods e o apoio do Sebrae/SC. O programa não apenas visou identificar e desenvolver soluções tecnológicas, mas também fomentar um ecossistema colaborativo que promova o crescimento e a criação de novas tecnologias no setor imobiliário, com um foco particular na aplicação da Inteligência Artificial (IA) para otimizar processos e criar novas experiências. </w:t>
      </w:r>
    </w:p>
    <w:p w:rsidR="00000000" w:rsidDel="00000000" w:rsidP="00000000" w:rsidRDefault="00000000" w:rsidRPr="00000000" w14:paraId="0000001B">
      <w:pPr>
        <w:spacing w:line="276" w:lineRule="auto"/>
        <w:ind w:firstLine="720"/>
        <w:rPr/>
      </w:pPr>
      <w:r w:rsidDel="00000000" w:rsidR="00000000" w:rsidRPr="00000000">
        <w:rPr>
          <w:highlight w:val="white"/>
          <w:rtl w:val="0"/>
        </w:rPr>
        <w:t xml:space="preserve">Este estudo de caso busca explorar a estrutura do PropVentures Lab, suas atividades, os resultados alcançados e as lições aprendidas, oferecendo insights valiosos para outras organizações interessadas em implementar programas de inovação aberta no setor imobiliário e em outros segmentos da economia.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Durante o programa, as empresas participantes puderam se conectar ao ecossistema de empresas do Grupo Brognoli, interagindo com lideranças de outras startups já investidas pelo grupo proponente. Fator chave para o sucesso da estrutura do programa, uma vez que o acesso à base de conhecimento da organização, às capacidades de escala e às expertises do setor colaboram para o desenvolvimento de novos empreendimentos capazes de penetrarem no mercado-alvo, utilizando os recursos e as redes de contatos da empresa estabelecida (Gutmann, Miric e Kavadias, 2020).</w:t>
      </w:r>
    </w:p>
    <w:p w:rsidR="00000000" w:rsidDel="00000000" w:rsidP="00000000" w:rsidRDefault="00000000" w:rsidRPr="00000000" w14:paraId="0000001D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O processo de seleção das startups foi rigoroso e dividido em duas etapas eliminatórias: avaliação de propostas escritas e entrevistas. O edital foi lançado no final de 2023, com um período de inscrições que se estendeu até o início de 2024. As propostas foram avaliadas por uma Comissão Avaliadora composta por especialistas do ecossistema de inovação do Brasil e do time da Brognoli.</w:t>
      </w:r>
    </w:p>
    <w:p w:rsidR="00000000" w:rsidDel="00000000" w:rsidP="00000000" w:rsidRDefault="00000000" w:rsidRPr="00000000" w14:paraId="0000001E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 avaliação das propostas escritas considerou critérios como a relevância da solução para os segmentos de mercado imobiliário (até 20 pontos), o detalhamento sinérgico da solução (até 20 pontos), o perfil empreendedor (até 40 pontos) e a gestão da equipe, parcerias e recursos (até 20 pontos). Pontuações extras foram concedidas para vídeo pitch (até 5 pontos) e para startups com sede e registro em Santa Catarina (até 5 pontos), totalizando uma pontuação máxima de 110 pontos.</w:t>
      </w:r>
    </w:p>
    <w:p w:rsidR="00000000" w:rsidDel="00000000" w:rsidP="00000000" w:rsidRDefault="00000000" w:rsidRPr="00000000" w14:paraId="00000020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 etapa de entrevistas, obrigatória e eliminatória, avaliou o perfil dos empreendedores (até 30 pontos), clareza e objetividade (até 15 pontos), domínio sobre o problema e a solução (até 15 pontos), conhecimentos sobre o ecossistema de inovação (até 15 pontos) e argumentação e defesa da proposta (até 15 pontos), com uma pontuação máxima de 90 pontos.</w:t>
      </w:r>
    </w:p>
    <w:p w:rsidR="00000000" w:rsidDel="00000000" w:rsidP="00000000" w:rsidRDefault="00000000" w:rsidRPr="00000000" w14:paraId="00000021">
      <w:pPr>
        <w:spacing w:after="120" w:before="12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Atividades do Programa</w:t>
      </w:r>
    </w:p>
    <w:p w:rsidR="00000000" w:rsidDel="00000000" w:rsidP="00000000" w:rsidRDefault="00000000" w:rsidRPr="00000000" w14:paraId="00000022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O PropVentures Lab, com duração de cerca de 5 meses (início em 11 de março de 2024), ofereceu uma gama diversificada de atividades e recursos, estruturados por meio da Metodologia TXM Business, para maximizar o desenvolvimento das startups e a interação com o Grupo Brognoli:</w:t>
      </w:r>
    </w:p>
    <w:p w:rsidR="00000000" w:rsidDel="00000000" w:rsidP="00000000" w:rsidRDefault="00000000" w:rsidRPr="00000000" w14:paraId="00000024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Abertura e Apresentação do PropVentures: O programa teve início com um evento online em 11 de março de 2024, com a participação das entidades realizadoras e das equipes aprovadas. O objetivo foi apresentar o programa e as atividades a serem realizadas ao longo do período de pré-aceleração.</w:t>
      </w:r>
    </w:p>
    <w:p w:rsidR="00000000" w:rsidDel="00000000" w:rsidP="00000000" w:rsidRDefault="00000000" w:rsidRPr="00000000" w14:paraId="00000025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Onboarding Plataforma TXM Business: Em 13 de março, foi realizado um encontro para instruir as startups sobre a utilização da plataforma TXM Business, que possui ferramentas e atividades gamificadas para validação e gestão de negócios. O preenchimento das ferramentas na plataforma gerava pontos que podiam ser trocados por mentorias individuais.</w:t>
      </w:r>
    </w:p>
    <w:p w:rsidR="00000000" w:rsidDel="00000000" w:rsidP="00000000" w:rsidRDefault="00000000" w:rsidRPr="00000000" w14:paraId="00000026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Apresentação das equipes e Brognoli (Imersão Presencial): Em 22 de março, ocorreu o primeiro encontro presencial na sede da TXM Methods. As startups apresentaram seus pitches e o CEO da Brognoli Imóveis, Eduardo Barbosa, apresentou a empresa, suas soluções e as dores enfrentadas, buscando alinhamento com as soluções das startups.</w:t>
      </w:r>
    </w:p>
    <w:p w:rsidR="00000000" w:rsidDel="00000000" w:rsidP="00000000" w:rsidRDefault="00000000" w:rsidRPr="00000000" w14:paraId="00000027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Workshops e cocriações semanais: com temas que abordavam desde conceitos importantes sobre IA e suas aplicações no setor imobiliário, até propósito organizacional, passando por marketing, financeiro, vendas e preparação para o Pitch, as Startups tiveram vários momentos para, em conjunto, e guiados por especialistas, evoluírem suas propostas, e construírem uma empresa mais robusta, amparados por uma metodologia validada e pelo suporte de uma corporação com profissionais experientes. Também visitaram a organização, e tiveram trocas com startups já investidas pela PropVenture. </w:t>
      </w:r>
    </w:p>
    <w:p w:rsidR="00000000" w:rsidDel="00000000" w:rsidP="00000000" w:rsidRDefault="00000000" w:rsidRPr="00000000" w14:paraId="00000028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Diagnósticos Iniciais e Monitoramentos: Foram realizados diagnósticos iniciais individualizados por empresa, abordando as Dimensões Mercado; Tecnologia e Gestão e Capital. O diagnóstico inicial visava compreender em quais áreas cada startup deveria empenhar mais esforços, enquanto os monitoramentos, servem para acompanhar as mudanças ao longo do programa. </w:t>
      </w:r>
    </w:p>
    <w:p w:rsidR="00000000" w:rsidDel="00000000" w:rsidP="00000000" w:rsidRDefault="00000000" w:rsidRPr="00000000" w14:paraId="00000029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Mentorias Individuais: As startups tiveram acesso a mentorias personalizadas com profissionais do mercado, recebendo orientações sobre tomadas de decisão estratégicas, desenvolvimento de processos e modelos de negócios. Como todo o processo é desenvolvido por meio de uma plataforma gamificada, quanto mais se materializavam as evoluções, mais pontos cada time ganhava, para trocar por mentorias com especialistas, inclusive com o time da corporação participante. </w:t>
      </w:r>
    </w:p>
    <w:p w:rsidR="00000000" w:rsidDel="00000000" w:rsidP="00000000" w:rsidRDefault="00000000" w:rsidRPr="00000000" w14:paraId="0000002A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B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3. RESULTADOS </w:t>
      </w:r>
    </w:p>
    <w:p w:rsidR="00000000" w:rsidDel="00000000" w:rsidP="00000000" w:rsidRDefault="00000000" w:rsidRPr="00000000" w14:paraId="0000002C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O PropVentures Lab by Brognoli gerou resultados e impactos significativos para as startups participantes, o Grupo Brognoli e o ecossistema de inovação, destacando-se: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0" w:afterAutospacing="0" w:before="120" w:lineRule="auto"/>
        <w:ind w:left="0" w:firstLine="708.6614173228347"/>
        <w:rPr>
          <w:u w:val="none"/>
        </w:rPr>
      </w:pPr>
      <w:r w:rsidDel="00000000" w:rsidR="00000000" w:rsidRPr="00000000">
        <w:rPr>
          <w:rtl w:val="0"/>
        </w:rPr>
        <w:t xml:space="preserve">Números Expressivos do Programa: O programa somou 130 dias de atividades, com 68 horas de conteúdo ao vivo e outras 67 horas de mentorias individuais, demonstrando a intensidade e o comprometimento com o desenvolvimento das startups participantes. A eficácia do programa é confirmada por um Net Promoter Score (NPS) de 88, indicando um altíssimo nível de lealdade e satisfação. Esse número é reforçado pelo fato de que  93,8% das startups concluintes afirmaram que seus negócios evoluíram significativamente ou de forma moderada com a ajuda do programa. A satisfação geral também foi notável, com 81% dos participantes classificando sua experiência como "excelente".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afterAutospacing="0" w:before="0" w:beforeAutospacing="0" w:lineRule="auto"/>
        <w:ind w:left="0" w:firstLine="708.6614173228347"/>
        <w:rPr>
          <w:u w:val="none"/>
        </w:rPr>
      </w:pPr>
      <w:r w:rsidDel="00000000" w:rsidR="00000000" w:rsidRPr="00000000">
        <w:rPr>
          <w:rtl w:val="0"/>
        </w:rPr>
        <w:t xml:space="preserve">Desenvolvimento de Soluções Inovadoras: As startups tiveram a oportunidade de refinar suas propostas e desenvolver soluções alinhadas às demandas do mercado imobiliário, com o apoio de mentorias e capacitações especializadas, especialmente no uso de IA. Dentre as soluções desenvolvidas, destacam-se ferramentas que possibilitam visitas detalhadas ao imóvel por meio de realidade virtual (Imersão Virtual e Hollox), plataformas imobiliárias que compilam dados e geram análises geográficas para diminuir irregularidades (Vizzion), serviços de recomendação para facilitar o 'match' entre clientes e corretores (Match Broker), aplicativos para audiodescrição de imóveis (Narrify), e soluções que utilizam IA para tornar imagens de anúncios mais atrativas (Home Pop).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afterAutospacing="0" w:before="0" w:beforeAutospacing="0" w:lineRule="auto"/>
        <w:ind w:left="0" w:firstLine="708.6614173228347"/>
        <w:rPr>
          <w:u w:val="none"/>
        </w:rPr>
      </w:pPr>
      <w:r w:rsidDel="00000000" w:rsidR="00000000" w:rsidRPr="00000000">
        <w:rPr>
          <w:rtl w:val="0"/>
        </w:rPr>
        <w:t xml:space="preserve">Colaboração Efetiva e Alinhamento Estratégico: O programa promoveu uma parceria efetiva entre o Grupo Brognoli e as startups, facilitando a troca de conhecimento e a cocriação de soluções. A apresentação da Brognoli e a interação direta com seus representantes foram cruciais para o alinhamento das soluções.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120" w:before="0" w:beforeAutospacing="0" w:lineRule="auto"/>
        <w:ind w:left="0" w:firstLine="708.6614173228347"/>
        <w:rPr>
          <w:u w:val="none"/>
        </w:rPr>
      </w:pPr>
      <w:r w:rsidDel="00000000" w:rsidR="00000000" w:rsidRPr="00000000">
        <w:rPr>
          <w:rtl w:val="0"/>
        </w:rPr>
        <w:t xml:space="preserve">Pitch Final e Reconhecimento: O programa culminou com pitches finais realizados no auditório da Acate Downtown, em Florianópolis, onde as startups apresentaram suas soluções a uma banca avaliadora de alto nível, composta por Diego Simon (co-founder do Viva Real), Marcel Ribas (learning architect do Google), Alexandre Souza (gerente de Inovação do Sebrae/SC), Ricardo Villlaça (conselheiro de IA do Grupo Brognoli) e Marcelo Brognoli (presidente do grupo). As startups Imersão Virtual e Hollox ficaram em primeiro e segundo lugar, respectivamente, enquanto a Vizzion conquistou o terceiro lugar.</w:t>
      </w:r>
    </w:p>
    <w:p w:rsidR="00000000" w:rsidDel="00000000" w:rsidP="00000000" w:rsidRDefault="00000000" w:rsidRPr="00000000" w14:paraId="00000031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 CONTRIBUIÇÕES</w:t>
      </w:r>
    </w:p>
    <w:p w:rsidR="00000000" w:rsidDel="00000000" w:rsidP="00000000" w:rsidRDefault="00000000" w:rsidRPr="00000000" w14:paraId="00000033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O PropVentures Lab contribuiu para o fortalecimento do ecossistema de inovação em Florianópolis e Santa Catarina, conectando startups, uma empresa consolidada do setor imobiliário, o Sebrae/SC e a TXM Methods. A iniciativa impulsiona o desenvolvimento de novas tecnologias e modelos de negócios na região e demonstra impacto tangível ao mercado. Cerca de um mês após a finalização do programa, pelo menos seis das empresas participantes relataram ter captado algum tipo de investimento, incluindo aportes diretos da própria Brognoli ou de outras fontes de subsídio.</w:t>
      </w:r>
    </w:p>
    <w:p w:rsidR="00000000" w:rsidDel="00000000" w:rsidP="00000000" w:rsidRDefault="00000000" w:rsidRPr="00000000" w14:paraId="00000034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 metodologia TXM Business, com sua plataforma gamificada e o sistema de pontos para mentorias, mostrou-se eficaz em manter o engajamento e o ritmo de desenvolvimento das startups. A lição aprendida é que a clareza nos objetivos do programa, a comunicação transparente e a oferta de valor tangível para as startups são cruciais para o sucesso e a sustentabilidade de iniciativas de inovação aberta. O apoio de entidades como o Sebrae/SC e a expertise da TXM Methods foram fundamentais para mitigar esses desafios e garantir a entrega de um programa de alta qualidade.</w:t>
      </w:r>
    </w:p>
    <w:p w:rsidR="00000000" w:rsidDel="00000000" w:rsidP="00000000" w:rsidRDefault="00000000" w:rsidRPr="00000000" w14:paraId="00000035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O PropVentures Lab by Brognoli é um exemplo inspirador de como a inovação aberta pode transformar um setor tradicional como o imobiliário. A colaboração entre a TXM Methods, o Grupo Brognoli e o Sebrae/SC, por meio de uma metodologia bem definida e um foco claro na aplicação de IA, resultou em um programa que não apenas capacitou startups, mas também gerou soluções inovadoras e atraiu investimentos. O sucesso do programa, evidenciado pelos investimentos em startups participantes, reforça a importância de parcerias estratégicas para impulsionar a inovação e o desenvolvimento econômico. O PropVentures Lab serve como um benchmark para futuras iniciativas de inovação aberta, demonstrando que a sinergia entre diferentes atores do ecossistema é a chave para a criação de valor e a construção de um futuro mais inovador.</w:t>
      </w:r>
    </w:p>
    <w:p w:rsidR="00000000" w:rsidDel="00000000" w:rsidP="00000000" w:rsidRDefault="00000000" w:rsidRPr="00000000" w14:paraId="00000036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AGRADECIMENTOS</w:t>
      </w:r>
    </w:p>
    <w:p w:rsidR="00000000" w:rsidDel="00000000" w:rsidP="00000000" w:rsidRDefault="00000000" w:rsidRPr="00000000" w14:paraId="00000038">
      <w:pPr>
        <w:spacing w:after="120" w:before="120" w:lineRule="auto"/>
        <w:rPr/>
      </w:pPr>
      <w:r w:rsidDel="00000000" w:rsidR="00000000" w:rsidRPr="00000000">
        <w:rPr>
          <w:rtl w:val="0"/>
        </w:rPr>
        <w:t xml:space="preserve">A equipe autora agradece ao Grupo Brognoli e ao Sebrae SC pela confiança e parceria na realização do PropVentures Lab by Brognoli, bem como à TXM Methods pela execução metodológica e operacional da iniciativa. Agradecimento especial a todas as Startups, que vêm com grande interesse em realizar trocas de experiências e crescer junto aos realizadores e executores, e a rede de mentores e palestrantes, que compartilham de um propósito cocriativo de ganhos mútuos.  </w:t>
      </w:r>
    </w:p>
    <w:p w:rsidR="00000000" w:rsidDel="00000000" w:rsidP="00000000" w:rsidRDefault="00000000" w:rsidRPr="00000000" w14:paraId="00000039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REFERÊNCIAS</w:t>
      </w:r>
    </w:p>
    <w:p w:rsidR="00000000" w:rsidDel="00000000" w:rsidP="00000000" w:rsidRDefault="00000000" w:rsidRPr="00000000" w14:paraId="0000003B">
      <w:pPr>
        <w:spacing w:after="120" w:before="120" w:lineRule="auto"/>
        <w:jc w:val="left"/>
        <w:rPr/>
      </w:pPr>
      <w:r w:rsidDel="00000000" w:rsidR="00000000" w:rsidRPr="00000000">
        <w:rPr>
          <w:rtl w:val="0"/>
        </w:rPr>
        <w:t xml:space="preserve">CHESBROUGH, H.; BOGERS, M. Explicating open innovation: The past, present and future. </w:t>
      </w:r>
      <w:r w:rsidDel="00000000" w:rsidR="00000000" w:rsidRPr="00000000">
        <w:rPr>
          <w:i w:val="1"/>
          <w:rtl w:val="0"/>
        </w:rPr>
        <w:t xml:space="preserve">In</w:t>
      </w:r>
      <w:r w:rsidDel="00000000" w:rsidR="00000000" w:rsidRPr="00000000">
        <w:rPr>
          <w:rtl w:val="0"/>
        </w:rPr>
        <w:t xml:space="preserve">: CHESBROUGH, H.; VANHAVERBEKE, W.; RADZIWON, A. (ed.). </w:t>
      </w:r>
      <w:r w:rsidDel="00000000" w:rsidR="00000000" w:rsidRPr="00000000">
        <w:rPr>
          <w:b w:val="1"/>
          <w:rtl w:val="0"/>
        </w:rPr>
        <w:t xml:space="preserve">New Frontiers in Open Innovation</w:t>
      </w:r>
      <w:r w:rsidDel="00000000" w:rsidR="00000000" w:rsidRPr="00000000">
        <w:rPr>
          <w:rtl w:val="0"/>
        </w:rPr>
        <w:t xml:space="preserve">. Oxford: Oxford University Press, 2018.</w:t>
      </w:r>
    </w:p>
    <w:p w:rsidR="00000000" w:rsidDel="00000000" w:rsidP="00000000" w:rsidRDefault="00000000" w:rsidRPr="00000000" w14:paraId="0000003C">
      <w:pPr>
        <w:spacing w:after="120" w:before="120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120" w:before="120" w:lineRule="auto"/>
        <w:jc w:val="left"/>
        <w:rPr/>
      </w:pPr>
      <w:r w:rsidDel="00000000" w:rsidR="00000000" w:rsidRPr="00000000">
        <w:rPr>
          <w:rtl w:val="0"/>
        </w:rPr>
        <w:t xml:space="preserve">COCREATION LAB. </w:t>
      </w:r>
      <w:r w:rsidDel="00000000" w:rsidR="00000000" w:rsidRPr="00000000">
        <w:rPr>
          <w:b w:val="1"/>
          <w:rtl w:val="0"/>
        </w:rPr>
        <w:t xml:space="preserve">Edital Prop Ventures Lab</w:t>
      </w:r>
      <w:r w:rsidDel="00000000" w:rsidR="00000000" w:rsidRPr="00000000">
        <w:rPr>
          <w:rtl w:val="0"/>
        </w:rPr>
        <w:t xml:space="preserve">: novas datas. Florianópolis: Cocreation Lab, jan. 2024. Disponível em:</w:t>
      </w:r>
      <w:hyperlink r:id="rId12">
        <w:r w:rsidDel="00000000" w:rsidR="00000000" w:rsidRPr="00000000">
          <w:rPr>
            <w:rtl w:val="0"/>
          </w:rPr>
          <w:t xml:space="preserve"> </w:t>
        </w:r>
      </w:hyperlink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https://cocreationlab.com.br/wp-content/uploads/2024/01/Edital-Prop-Ventures-Lab-Novas-Datas.docx.pdf</w:t>
        </w:r>
      </w:hyperlink>
      <w:r w:rsidDel="00000000" w:rsidR="00000000" w:rsidRPr="00000000">
        <w:rPr>
          <w:rtl w:val="0"/>
        </w:rPr>
        <w:t xml:space="preserve">. Acesso em: 15 jul. 2025.</w:t>
      </w:r>
    </w:p>
    <w:p w:rsidR="00000000" w:rsidDel="00000000" w:rsidP="00000000" w:rsidRDefault="00000000" w:rsidRPr="00000000" w14:paraId="0000003E">
      <w:pPr>
        <w:spacing w:line="276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76" w:lineRule="auto"/>
        <w:jc w:val="left"/>
        <w:rPr/>
      </w:pPr>
      <w:r w:rsidDel="00000000" w:rsidR="00000000" w:rsidRPr="00000000">
        <w:rPr>
          <w:rtl w:val="0"/>
        </w:rPr>
        <w:t xml:space="preserve">GUTMANN, T.; MIRIC, M.; KAVADIAS, S. </w:t>
      </w:r>
      <w:r w:rsidDel="00000000" w:rsidR="00000000" w:rsidRPr="00000000">
        <w:rPr>
          <w:b w:val="1"/>
          <w:rtl w:val="0"/>
        </w:rPr>
        <w:t xml:space="preserve">Startups in a corporate accelerator</w:t>
      </w:r>
      <w:r w:rsidDel="00000000" w:rsidR="00000000" w:rsidRPr="00000000">
        <w:rPr>
          <w:rtl w:val="0"/>
        </w:rPr>
        <w:t xml:space="preserve">: what is satisfying, what is relevant, and what can corporates improve. </w:t>
      </w:r>
      <w:r w:rsidDel="00000000" w:rsidR="00000000" w:rsidRPr="00000000">
        <w:rPr>
          <w:i w:val="1"/>
          <w:rtl w:val="0"/>
        </w:rPr>
        <w:t xml:space="preserve">IEEE Transactions on Engineering Management</w:t>
      </w:r>
      <w:r w:rsidDel="00000000" w:rsidR="00000000" w:rsidRPr="00000000">
        <w:rPr>
          <w:rtl w:val="0"/>
        </w:rPr>
        <w:t xml:space="preserve">, 2020.</w:t>
      </w:r>
    </w:p>
    <w:p w:rsidR="00000000" w:rsidDel="00000000" w:rsidP="00000000" w:rsidRDefault="00000000" w:rsidRPr="00000000" w14:paraId="00000040">
      <w:pPr>
        <w:spacing w:line="276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76" w:lineRule="auto"/>
        <w:jc w:val="left"/>
        <w:rPr/>
      </w:pPr>
      <w:r w:rsidDel="00000000" w:rsidR="00000000" w:rsidRPr="00000000">
        <w:rPr>
          <w:rtl w:val="0"/>
        </w:rPr>
        <w:t xml:space="preserve">LI, R. Y. M.; CHAU, K. W.; ZENG, B. The present and future of the digital transformation of real estate: a systematic review of smart real estate. </w:t>
      </w:r>
      <w:r w:rsidDel="00000000" w:rsidR="00000000" w:rsidRPr="00000000">
        <w:rPr>
          <w:b w:val="1"/>
          <w:rtl w:val="0"/>
        </w:rPr>
        <w:t xml:space="preserve">Business Informatics</w:t>
      </w:r>
      <w:r w:rsidDel="00000000" w:rsidR="00000000" w:rsidRPr="00000000">
        <w:rPr>
          <w:rtl w:val="0"/>
        </w:rPr>
        <w:t xml:space="preserve">, v. 17, n. 2, p. 85–113, 2023.</w:t>
      </w:r>
    </w:p>
    <w:p w:rsidR="00000000" w:rsidDel="00000000" w:rsidP="00000000" w:rsidRDefault="00000000" w:rsidRPr="00000000" w14:paraId="00000042">
      <w:pPr>
        <w:spacing w:line="276" w:lineRule="auto"/>
        <w:jc w:val="left"/>
        <w:rPr/>
      </w:pPr>
      <w:r w:rsidDel="00000000" w:rsidR="00000000" w:rsidRPr="00000000">
        <w:rPr>
          <w:rtl w:val="0"/>
        </w:rPr>
        <w:br w:type="textWrapping"/>
        <w:t xml:space="preserve">PESSOTTO, C. Proptechs usam IA para criar soluções com foco no mercado imobiliário. </w:t>
      </w:r>
      <w:r w:rsidDel="00000000" w:rsidR="00000000" w:rsidRPr="00000000">
        <w:rPr>
          <w:b w:val="1"/>
          <w:rtl w:val="0"/>
        </w:rPr>
        <w:t xml:space="preserve">Empreendedor.com.br</w:t>
      </w:r>
      <w:r w:rsidDel="00000000" w:rsidR="00000000" w:rsidRPr="00000000">
        <w:rPr>
          <w:rtl w:val="0"/>
        </w:rPr>
        <w:t xml:space="preserve">, 24 jul. 2024. Disponível em:</w:t>
      </w:r>
      <w:hyperlink r:id="rId14">
        <w:r w:rsidDel="00000000" w:rsidR="00000000" w:rsidRPr="00000000">
          <w:rPr>
            <w:rtl w:val="0"/>
          </w:rPr>
          <w:t xml:space="preserve"> </w:t>
        </w:r>
      </w:hyperlink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https://empreendedor.com.br/tecnologia/startups/proptechs-usam-ia-para-criar-solucoes-com-foco-no-mercado-imobiliario/</w:t>
        </w:r>
      </w:hyperlink>
      <w:r w:rsidDel="00000000" w:rsidR="00000000" w:rsidRPr="00000000">
        <w:rPr>
          <w:rtl w:val="0"/>
        </w:rPr>
        <w:t xml:space="preserve">. Acesso em: 15 jul. 2025.</w:t>
      </w:r>
    </w:p>
    <w:p w:rsidR="00000000" w:rsidDel="00000000" w:rsidP="00000000" w:rsidRDefault="00000000" w:rsidRPr="00000000" w14:paraId="00000043">
      <w:pPr>
        <w:spacing w:line="276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240" w:before="240" w:line="276" w:lineRule="auto"/>
        <w:jc w:val="left"/>
        <w:rPr/>
      </w:pPr>
      <w:r w:rsidDel="00000000" w:rsidR="00000000" w:rsidRPr="00000000">
        <w:rPr>
          <w:rtl w:val="0"/>
        </w:rPr>
        <w:t xml:space="preserve">PROPVENTURES BY BROGNOLI: </w:t>
      </w:r>
      <w:r w:rsidDel="00000000" w:rsidR="00000000" w:rsidRPr="00000000">
        <w:rPr>
          <w:b w:val="1"/>
          <w:rtl w:val="0"/>
        </w:rPr>
        <w:t xml:space="preserve">resumos</w:t>
      </w:r>
      <w:r w:rsidDel="00000000" w:rsidR="00000000" w:rsidRPr="00000000">
        <w:rPr>
          <w:rtl w:val="0"/>
        </w:rPr>
        <w:t xml:space="preserve">. [Florianópolis]: TXM Methods: Grupo Brognoli: Sebrae/SC, 2024. Documento interno.</w:t>
      </w:r>
    </w:p>
    <w:p w:rsidR="00000000" w:rsidDel="00000000" w:rsidP="00000000" w:rsidRDefault="00000000" w:rsidRPr="00000000" w14:paraId="00000045">
      <w:pPr>
        <w:spacing w:line="276" w:lineRule="auto"/>
        <w:jc w:val="left"/>
        <w:rPr/>
      </w:pPr>
      <w:r w:rsidDel="00000000" w:rsidR="00000000" w:rsidRPr="00000000">
        <w:rPr>
          <w:rtl w:val="0"/>
        </w:rPr>
        <w:t xml:space="preserve">SC INOVA. Pré-aceleradora de SC busca startups voltadas ao mercado imobiliário. SC Inova, 21 maio 2024. Disponível em:</w:t>
      </w:r>
      <w:hyperlink r:id="rId16">
        <w:r w:rsidDel="00000000" w:rsidR="00000000" w:rsidRPr="00000000">
          <w:rPr>
            <w:rtl w:val="0"/>
          </w:rPr>
          <w:t xml:space="preserve"> </w:t>
        </w:r>
      </w:hyperlink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https://scinova.com.br/pre-aceleradora-de-sc-busca-startups-voltadas-ao-mercado-imobiliario/</w:t>
        </w:r>
      </w:hyperlink>
      <w:r w:rsidDel="00000000" w:rsidR="00000000" w:rsidRPr="00000000">
        <w:rPr>
          <w:rtl w:val="0"/>
        </w:rPr>
        <w:t xml:space="preserve">. Acesso em: 15 jul. 2025.</w:t>
      </w:r>
    </w:p>
    <w:p w:rsidR="00000000" w:rsidDel="00000000" w:rsidP="00000000" w:rsidRDefault="00000000" w:rsidRPr="00000000" w14:paraId="00000046">
      <w:pPr>
        <w:spacing w:line="276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76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sectPr>
      <w:headerReference r:id="rId18" w:type="first"/>
      <w:type w:val="nextPage"/>
      <w:pgSz w:h="16838" w:w="11906" w:orient="portrait"/>
      <w:pgMar w:bottom="1134" w:top="1701" w:left="1701" w:right="1134" w:header="0" w:footer="709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UDESC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sz w:val="20"/>
          <w:szCs w:val="20"/>
          <w:rtl w:val="0"/>
        </w:rPr>
        <w:t xml:space="preserve">floramds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@gmail.com</w:t>
      </w:r>
    </w:p>
  </w:footnote>
  <w:footnote w:id="1">
    <w:p w:rsidR="00000000" w:rsidDel="00000000" w:rsidP="00000000" w:rsidRDefault="00000000" w:rsidRPr="00000000" w14:paraId="000000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UFSC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sz w:val="20"/>
          <w:szCs w:val="20"/>
          <w:rtl w:val="0"/>
        </w:rPr>
        <w:t xml:space="preserve">salodesigner@gmail.com</w:t>
      </w:r>
      <w:r w:rsidDel="00000000" w:rsidR="00000000" w:rsidRPr="00000000">
        <w:rPr>
          <w:rtl w:val="0"/>
        </w:rPr>
      </w:r>
    </w:p>
  </w:footnote>
  <w:footnote w:id="2"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TXM Methods.patrickveiga@txm-methods.com</w:t>
      </w:r>
      <w:r w:rsidDel="00000000" w:rsidR="00000000" w:rsidRPr="00000000">
        <w:rPr>
          <w:rtl w:val="0"/>
        </w:rPr>
      </w:r>
    </w:p>
  </w:footnote>
  <w:footnote w:id="3"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TXM Methods.maiaracamillo@txm-methods.com</w:t>
      </w:r>
      <w:r w:rsidDel="00000000" w:rsidR="00000000" w:rsidRPr="00000000">
        <w:rPr>
          <w:rtl w:val="0"/>
        </w:rPr>
      </w:r>
    </w:p>
  </w:footnote>
  <w:footnote w:id="4">
    <w:p w:rsidR="00000000" w:rsidDel="00000000" w:rsidP="00000000" w:rsidRDefault="00000000" w:rsidRPr="00000000" w14:paraId="0000004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UFSC. matheus.aliardi@gmail.com</w:t>
      </w: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701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7511398" cy="2147888"/>
          <wp:effectExtent b="0" l="0" r="0" t="0"/>
          <wp:docPr id="211789134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701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 w:val="1"/>
    <w:rsid w:val="001C7E78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084E0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notaderodap">
    <w:name w:val="footnote text"/>
    <w:basedOn w:val="Normal"/>
    <w:link w:val="TextodenotaderodapChar"/>
    <w:uiPriority w:val="99"/>
    <w:semiHidden w:val="1"/>
    <w:unhideWhenUsed w:val="1"/>
    <w:rsid w:val="00C1750A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 w:val="1"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 w:val="1"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4263BE"/>
    <w:rPr>
      <w:color w:val="605e5c"/>
      <w:shd w:color="auto" w:fill="e1dfdd" w:val="clear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3" Type="http://schemas.openxmlformats.org/officeDocument/2006/relationships/hyperlink" Target="https://cocreationlab.com.br/wp-content/uploads/2024/01/Edital-Prop-Ventures-Lab-Novas-Datas.docx.pdf" TargetMode="External"/><Relationship Id="rId12" Type="http://schemas.openxmlformats.org/officeDocument/2006/relationships/hyperlink" Target="https://cocreationlab.com.br/wp-content/uploads/2024/01/Edital-Prop-Ventures-Lab-Novas-Datas.docx.pdf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5" Type="http://schemas.openxmlformats.org/officeDocument/2006/relationships/hyperlink" Target="https://empreendedor.com.br/tecnologia/startups/proptechs-usam-ia-para-criar-solucoes-com-foco-no-mercado-imobiliario/" TargetMode="External"/><Relationship Id="rId14" Type="http://schemas.openxmlformats.org/officeDocument/2006/relationships/hyperlink" Target="https://empreendedor.com.br/tecnologia/startups/proptechs-usam-ia-para-criar-solucoes-com-foco-no-mercado-imobiliario/" TargetMode="External"/><Relationship Id="rId17" Type="http://schemas.openxmlformats.org/officeDocument/2006/relationships/hyperlink" Target="https://scinova.com.br/pre-aceleradora-de-sc-busca-startups-voltadas-ao-mercado-imobiliario/" TargetMode="External"/><Relationship Id="rId16" Type="http://schemas.openxmlformats.org/officeDocument/2006/relationships/hyperlink" Target="https://scinova.com.br/pre-aceleradora-de-sc-busca-startups-voltadas-ao-mercado-imobiliario/" TargetMode="Externa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18" Type="http://schemas.openxmlformats.org/officeDocument/2006/relationships/header" Target="header3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0RdL1qwBAu9+eI4Q0XZ5Dq2D+w==">CgMxLjA4AHIhMVItNG81RXNFR2tfQTF5MkI1Nl9Qc0lXVXhmVGdSbWh4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2024-07-12T18:25:00Z</dcterms:created>
  <dc:creator>Luiz Guilherme Rodrigues Antunes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