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F33F4" w:rsidRPr="001F33F4" w:rsidRDefault="001F33F4" w:rsidP="001F33F4">
      <w:pPr>
        <w:rPr>
          <w:rFonts w:eastAsia="Times New Roman" w:cstheme="minorHAnsi"/>
          <w:sz w:val="22"/>
          <w:szCs w:val="22"/>
          <w:lang w:val="es-CO" w:eastAsia="es-MX"/>
        </w:rPr>
      </w:pPr>
    </w:p>
    <w:p w:rsidR="001F33F4" w:rsidRPr="001F33F4" w:rsidRDefault="001F33F4" w:rsidP="001F33F4">
      <w:pPr>
        <w:spacing w:before="100" w:beforeAutospacing="1" w:after="100" w:afterAutospacing="1"/>
        <w:outlineLvl w:val="0"/>
        <w:rPr>
          <w:rFonts w:eastAsia="Times New Roman" w:cstheme="minorHAnsi"/>
          <w:b/>
          <w:bCs/>
          <w:color w:val="000000"/>
          <w:kern w:val="36"/>
          <w:sz w:val="22"/>
          <w:szCs w:val="22"/>
          <w:lang w:val="es-CO" w:eastAsia="es-MX"/>
        </w:rPr>
      </w:pPr>
      <w:r w:rsidRPr="001F33F4">
        <w:rPr>
          <w:rFonts w:eastAsia="Times New Roman" w:cstheme="minorHAnsi"/>
          <w:b/>
          <w:bCs/>
          <w:color w:val="000000"/>
          <w:kern w:val="36"/>
          <w:sz w:val="22"/>
          <w:szCs w:val="22"/>
          <w:lang w:val="es-CO" w:eastAsia="es-MX"/>
        </w:rPr>
        <w:t>Resumen Ejecutivo – De Residuo a Valor: Una Transformación Circular en Frisby S.A. BIC</w:t>
      </w:r>
    </w:p>
    <w:p w:rsidR="001F33F4" w:rsidRPr="001F33F4" w:rsidRDefault="001F33F4" w:rsidP="001F33F4">
      <w:pPr>
        <w:spacing w:before="100" w:beforeAutospacing="1" w:after="100" w:afterAutospacing="1"/>
        <w:rPr>
          <w:rFonts w:eastAsia="Times New Roman" w:cstheme="minorHAnsi"/>
          <w:color w:val="000000"/>
          <w:sz w:val="22"/>
          <w:szCs w:val="22"/>
          <w:lang w:val="es-CO" w:eastAsia="es-MX"/>
        </w:rPr>
      </w:pPr>
      <w:r w:rsidRPr="001F33F4">
        <w:rPr>
          <w:rFonts w:eastAsia="Times New Roman" w:cstheme="minorHAnsi"/>
          <w:b/>
          <w:bCs/>
          <w:color w:val="000000"/>
          <w:sz w:val="22"/>
          <w:szCs w:val="22"/>
          <w:lang w:val="es-CO" w:eastAsia="es-MX"/>
        </w:rPr>
        <w:t>Contexto y Objetivo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br/>
        <w:t xml:space="preserve">Frisby S.A. BIC, empresa líder en el sector alimentario colombiano, emprendió junto a </w:t>
      </w:r>
      <w:proofErr w:type="spellStart"/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>CommunityLab</w:t>
      </w:r>
      <w:proofErr w:type="spellEnd"/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 xml:space="preserve"> un proyecto integral de economía circular con el objetivo de transformar su modelo de gestión de residuos. Ante presiones ambientales, costos operativos crecientes y nuevas exigencias normativas, la compañía buscó desarrollar un modelo escalable que convirtiera sus flujos de residuos orgánicos e inorgánicos en fuentes de valor económico, ambiental y social.</w:t>
      </w:r>
    </w:p>
    <w:p w:rsidR="001F33F4" w:rsidRPr="001F33F4" w:rsidRDefault="001F33F4" w:rsidP="001F33F4">
      <w:pPr>
        <w:spacing w:before="100" w:beforeAutospacing="1" w:after="100" w:afterAutospacing="1"/>
        <w:rPr>
          <w:rFonts w:eastAsia="Times New Roman" w:cstheme="minorHAnsi"/>
          <w:color w:val="000000"/>
          <w:sz w:val="22"/>
          <w:szCs w:val="22"/>
          <w:lang w:val="es-CO" w:eastAsia="es-MX"/>
        </w:rPr>
      </w:pPr>
      <w:r w:rsidRPr="001F33F4">
        <w:rPr>
          <w:rFonts w:eastAsia="Times New Roman" w:cstheme="minorHAnsi"/>
          <w:b/>
          <w:bCs/>
          <w:color w:val="000000"/>
          <w:sz w:val="22"/>
          <w:szCs w:val="22"/>
          <w:lang w:val="es-CO" w:eastAsia="es-MX"/>
        </w:rPr>
        <w:t>Diagnóstico y Línea Base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br/>
        <w:t xml:space="preserve">El proyecto inició con un levantamiento riguroso de línea base en las áreas de </w:t>
      </w:r>
      <w:proofErr w:type="spellStart"/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>pre-alistamiento</w:t>
      </w:r>
      <w:proofErr w:type="spellEnd"/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 xml:space="preserve"> y alistamiento. A través del lienzo de flujo de materiales y entrevistas participativas, se identificaron más de 14 flujos críticos de residuos: cáscaras de papa, huesos de pollo cocido, sobrantes de apanado, empaques contaminados y aceites usados, entre otros. Frisby logró por primera vez contar con un inventario estructurado de volúmenes, frecuencias y composición de sus residuos, permitiéndole tomar decisiones fundamentadas.</w:t>
      </w:r>
    </w:p>
    <w:p w:rsidR="001F33F4" w:rsidRPr="001F33F4" w:rsidRDefault="001F33F4" w:rsidP="001F33F4">
      <w:pPr>
        <w:spacing w:before="100" w:beforeAutospacing="1" w:after="100" w:afterAutospacing="1"/>
        <w:rPr>
          <w:rFonts w:eastAsia="Times New Roman" w:cstheme="minorHAnsi"/>
          <w:color w:val="000000"/>
          <w:sz w:val="22"/>
          <w:szCs w:val="22"/>
          <w:lang w:val="es-CO" w:eastAsia="es-MX"/>
        </w:rPr>
      </w:pPr>
      <w:r w:rsidRPr="001F33F4">
        <w:rPr>
          <w:rFonts w:eastAsia="Times New Roman" w:cstheme="minorHAnsi"/>
          <w:b/>
          <w:bCs/>
          <w:color w:val="000000"/>
          <w:sz w:val="22"/>
          <w:szCs w:val="22"/>
          <w:lang w:val="es-CO" w:eastAsia="es-MX"/>
        </w:rPr>
        <w:t>Sistema de Trazabilidad Digital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br/>
        <w:t>Para mejorar el control y la rendición de cuentas, se implementó la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 xml:space="preserve"> 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>plataforma </w:t>
      </w:r>
      <w:proofErr w:type="spellStart"/>
      <w:r w:rsidRPr="001F33F4">
        <w:rPr>
          <w:rFonts w:eastAsia="Times New Roman" w:cstheme="minorHAnsi"/>
          <w:b/>
          <w:bCs/>
          <w:color w:val="000000"/>
          <w:sz w:val="22"/>
          <w:szCs w:val="22"/>
          <w:lang w:val="es-CO" w:eastAsia="es-MX"/>
        </w:rPr>
        <w:t>CircularTrace</w:t>
      </w:r>
      <w:proofErr w:type="spellEnd"/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 xml:space="preserve">, desarrollada por </w:t>
      </w:r>
      <w:proofErr w:type="spellStart"/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>CommunityLab</w:t>
      </w:r>
      <w:proofErr w:type="spellEnd"/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>. Esta herramienta registra la generación de residuos en tiempo real, los vincula con gestores certificados y calcula las emisiones de carbono asociadas. Gracias al sistema, Frisby pudo visualizar indicadores clave como toneladas valorizadas, emisiones evitadas y ahorros operativos, lo que cambió la percepción interna del residuo: de ser un pasivo operativo a un </w:t>
      </w:r>
      <w:r w:rsidRPr="001F33F4">
        <w:rPr>
          <w:rFonts w:eastAsia="Times New Roman" w:cstheme="minorHAnsi"/>
          <w:b/>
          <w:bCs/>
          <w:color w:val="000000"/>
          <w:sz w:val="22"/>
          <w:szCs w:val="22"/>
          <w:lang w:val="es-CO" w:eastAsia="es-MX"/>
        </w:rPr>
        <w:t>activo estratégico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>.</w:t>
      </w:r>
    </w:p>
    <w:p w:rsidR="001F33F4" w:rsidRPr="001F33F4" w:rsidRDefault="001F33F4" w:rsidP="001F33F4">
      <w:pPr>
        <w:spacing w:before="100" w:beforeAutospacing="1" w:after="100" w:afterAutospacing="1"/>
        <w:rPr>
          <w:rFonts w:eastAsia="Times New Roman" w:cstheme="minorHAnsi"/>
          <w:color w:val="000000"/>
          <w:sz w:val="22"/>
          <w:szCs w:val="22"/>
          <w:lang w:val="es-CO" w:eastAsia="es-MX"/>
        </w:rPr>
      </w:pPr>
      <w:r w:rsidRPr="001F33F4">
        <w:rPr>
          <w:rFonts w:eastAsia="Times New Roman" w:cstheme="minorHAnsi"/>
          <w:b/>
          <w:bCs/>
          <w:color w:val="000000"/>
          <w:sz w:val="22"/>
          <w:szCs w:val="22"/>
          <w:lang w:val="es-CO" w:eastAsia="es-MX"/>
        </w:rPr>
        <w:t>Valorización e Investigación en Nuevos Materiales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br/>
        <w:t>Uno de los focos principales fue la valorización de residuos orgánicos a través de alianzas con universidades, laboratorios de biomateriales y emprendedores locales. Se desarrollaron pilotos para transformar: Cáscaras de papa</w:t>
      </w:r>
      <w:r>
        <w:rPr>
          <w:rFonts w:eastAsia="Times New Roman" w:cstheme="minorHAnsi"/>
          <w:color w:val="000000"/>
          <w:sz w:val="22"/>
          <w:szCs w:val="22"/>
          <w:lang w:val="es-CO" w:eastAsia="es-MX"/>
        </w:rPr>
        <w:t>,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 xml:space="preserve"> </w:t>
      </w:r>
      <w:r>
        <w:rPr>
          <w:rFonts w:eastAsia="Times New Roman" w:cstheme="minorHAnsi"/>
          <w:color w:val="000000"/>
          <w:sz w:val="22"/>
          <w:szCs w:val="22"/>
          <w:lang w:val="es-CO" w:eastAsia="es-MX"/>
        </w:rPr>
        <w:t>re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 xml:space="preserve">siduos de zanahoria y repollo 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>en bioplásticos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 xml:space="preserve"> </w:t>
      </w:r>
      <w:proofErr w:type="spellStart"/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>compostables</w:t>
      </w:r>
      <w:proofErr w:type="spellEnd"/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>.</w:t>
      </w:r>
      <w:r>
        <w:rPr>
          <w:rFonts w:eastAsia="Times New Roman" w:cstheme="minorHAnsi"/>
          <w:color w:val="000000"/>
          <w:sz w:val="22"/>
          <w:szCs w:val="22"/>
          <w:lang w:val="es-CO" w:eastAsia="es-MX"/>
        </w:rPr>
        <w:t xml:space="preserve"> 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 xml:space="preserve">Huesos cocidos en </w:t>
      </w:r>
      <w:r>
        <w:rPr>
          <w:rFonts w:eastAsia="Times New Roman" w:cstheme="minorHAnsi"/>
          <w:color w:val="000000"/>
          <w:sz w:val="22"/>
          <w:szCs w:val="22"/>
          <w:lang w:val="es-CO" w:eastAsia="es-MX"/>
        </w:rPr>
        <w:t>nuevos materiales para otras industrias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>.</w:t>
      </w:r>
    </w:p>
    <w:p w:rsidR="001F33F4" w:rsidRPr="001F33F4" w:rsidRDefault="001F33F4" w:rsidP="001F33F4">
      <w:pPr>
        <w:spacing w:before="100" w:beforeAutospacing="1" w:after="100" w:afterAutospacing="1"/>
        <w:rPr>
          <w:rFonts w:eastAsia="Times New Roman" w:cstheme="minorHAnsi"/>
          <w:color w:val="000000"/>
          <w:sz w:val="22"/>
          <w:szCs w:val="22"/>
          <w:lang w:val="es-CO" w:eastAsia="es-MX"/>
        </w:rPr>
      </w:pP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>Estos desarrollos apuntan a sustituir empaques de poliestireno convencional y alinearse con el </w:t>
      </w:r>
      <w:r w:rsidRPr="001F33F4">
        <w:rPr>
          <w:rFonts w:eastAsia="Times New Roman" w:cstheme="minorHAnsi"/>
          <w:b/>
          <w:bCs/>
          <w:color w:val="000000"/>
          <w:sz w:val="22"/>
          <w:szCs w:val="22"/>
          <w:lang w:val="es-CO" w:eastAsia="es-MX"/>
        </w:rPr>
        <w:t>Pacto Verde Europeo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> y la </w:t>
      </w:r>
      <w:r w:rsidRPr="001F33F4">
        <w:rPr>
          <w:rFonts w:eastAsia="Times New Roman" w:cstheme="minorHAnsi"/>
          <w:b/>
          <w:bCs/>
          <w:color w:val="000000"/>
          <w:sz w:val="22"/>
          <w:szCs w:val="22"/>
          <w:lang w:val="es-CO" w:eastAsia="es-MX"/>
        </w:rPr>
        <w:t>Ley REP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 xml:space="preserve"> en Colombia. </w:t>
      </w:r>
      <w:r>
        <w:rPr>
          <w:rFonts w:eastAsia="Times New Roman" w:cstheme="minorHAnsi"/>
          <w:color w:val="000000"/>
          <w:sz w:val="22"/>
          <w:szCs w:val="22"/>
          <w:lang w:val="es-CO" w:eastAsia="es-MX"/>
        </w:rPr>
        <w:t xml:space="preserve">De esta forma la empresa busca 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 xml:space="preserve"> </w:t>
      </w:r>
      <w:r>
        <w:rPr>
          <w:rFonts w:eastAsia="Times New Roman" w:cstheme="minorHAnsi"/>
          <w:color w:val="000000"/>
          <w:sz w:val="22"/>
          <w:szCs w:val="22"/>
          <w:lang w:val="es-CO" w:eastAsia="es-MX"/>
        </w:rPr>
        <w:t xml:space="preserve">reducir el impacto y 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 xml:space="preserve"> en el desarrollo de materiales circulares a partir de sus propios residuos.</w:t>
      </w:r>
    </w:p>
    <w:p w:rsidR="001F33F4" w:rsidRDefault="001F33F4" w:rsidP="001F33F4">
      <w:pPr>
        <w:spacing w:before="100" w:beforeAutospacing="1" w:after="100" w:afterAutospacing="1"/>
        <w:rPr>
          <w:rFonts w:eastAsia="Times New Roman" w:cstheme="minorHAnsi"/>
          <w:color w:val="000000"/>
          <w:sz w:val="22"/>
          <w:szCs w:val="22"/>
          <w:lang w:val="es-CO" w:eastAsia="es-MX"/>
        </w:rPr>
      </w:pPr>
      <w:r w:rsidRPr="001F33F4">
        <w:rPr>
          <w:rFonts w:eastAsia="Times New Roman" w:cstheme="minorHAnsi"/>
          <w:b/>
          <w:bCs/>
          <w:color w:val="000000"/>
          <w:sz w:val="22"/>
          <w:szCs w:val="22"/>
          <w:lang w:val="es-CO" w:eastAsia="es-MX"/>
        </w:rPr>
        <w:t>Impacto Ambiental, Social y Económico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br/>
        <w:t>Entre los logros más relevantes se destacan:</w:t>
      </w:r>
      <w:r>
        <w:rPr>
          <w:rFonts w:eastAsia="Times New Roman" w:cstheme="minorHAnsi"/>
          <w:color w:val="000000"/>
          <w:sz w:val="22"/>
          <w:szCs w:val="22"/>
          <w:lang w:val="es-CO" w:eastAsia="es-MX"/>
        </w:rPr>
        <w:t xml:space="preserve"> </w:t>
      </w:r>
      <w:r w:rsidRPr="001F33F4">
        <w:rPr>
          <w:rFonts w:eastAsia="Times New Roman" w:cstheme="minorHAnsi"/>
          <w:b/>
          <w:bCs/>
          <w:color w:val="000000"/>
          <w:sz w:val="22"/>
          <w:szCs w:val="22"/>
          <w:lang w:val="es-CO" w:eastAsia="es-MX"/>
        </w:rPr>
        <w:t>Reducción en emisiones GEI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 xml:space="preserve"> asociadas al transporte y disposición 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>final.</w:t>
      </w:r>
      <w:r>
        <w:rPr>
          <w:rFonts w:eastAsia="Times New Roman" w:cstheme="minorHAnsi"/>
          <w:color w:val="000000"/>
          <w:sz w:val="22"/>
          <w:szCs w:val="22"/>
          <w:lang w:val="es-CO" w:eastAsia="es-MX"/>
        </w:rPr>
        <w:t xml:space="preserve"> Reducción de </w:t>
      </w:r>
      <w:r w:rsidRPr="001F33F4">
        <w:rPr>
          <w:rFonts w:eastAsia="Times New Roman" w:cstheme="minorHAnsi"/>
          <w:b/>
          <w:bCs/>
          <w:color w:val="000000"/>
          <w:sz w:val="22"/>
          <w:szCs w:val="22"/>
          <w:lang w:val="es-CO" w:eastAsia="es-MX"/>
        </w:rPr>
        <w:t xml:space="preserve"> toneladas anuales de residuos orgánicos valorizados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>.</w:t>
      </w:r>
      <w:r>
        <w:rPr>
          <w:rFonts w:eastAsia="Times New Roman" w:cstheme="minorHAnsi"/>
          <w:color w:val="000000"/>
          <w:sz w:val="22"/>
          <w:szCs w:val="22"/>
          <w:lang w:val="es-CO" w:eastAsia="es-MX"/>
        </w:rPr>
        <w:t xml:space="preserve"> </w:t>
      </w:r>
      <w:r w:rsidRPr="001F33F4">
        <w:rPr>
          <w:rFonts w:eastAsia="Times New Roman" w:cstheme="minorHAnsi"/>
          <w:b/>
          <w:bCs/>
          <w:color w:val="000000"/>
          <w:sz w:val="22"/>
          <w:szCs w:val="22"/>
          <w:lang w:val="es-CO" w:eastAsia="es-MX"/>
        </w:rPr>
        <w:t>Incremento del 20% en recuperación de materiales reciclables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>.</w:t>
      </w:r>
    </w:p>
    <w:p w:rsidR="001F33F4" w:rsidRPr="001F33F4" w:rsidRDefault="001F33F4" w:rsidP="001F33F4">
      <w:pPr>
        <w:spacing w:before="100" w:beforeAutospacing="1" w:after="100" w:afterAutospacing="1"/>
        <w:rPr>
          <w:rFonts w:eastAsia="Times New Roman" w:cstheme="minorHAnsi"/>
          <w:color w:val="000000"/>
          <w:sz w:val="22"/>
          <w:szCs w:val="22"/>
          <w:lang w:val="es-CO" w:eastAsia="es-MX"/>
        </w:rPr>
      </w:pP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>En el plano social, se capacitaron más de 200 colaboradores, se fortalecieron redes locales de recicladores y emprendimientos circulares, y se promovió una cultura de cero residuos. Económicamente, se redujeron costos logísticos y tarifas de disposición, mientras se generaron nuevas oportunidades de ingreso mediante subproductos valorizados.</w:t>
      </w:r>
    </w:p>
    <w:p w:rsidR="001F33F4" w:rsidRPr="001F33F4" w:rsidRDefault="001F33F4" w:rsidP="001F33F4">
      <w:pPr>
        <w:spacing w:before="100" w:beforeAutospacing="1" w:after="100" w:afterAutospacing="1"/>
        <w:rPr>
          <w:rFonts w:eastAsia="Times New Roman" w:cstheme="minorHAnsi"/>
          <w:color w:val="000000"/>
          <w:sz w:val="22"/>
          <w:szCs w:val="22"/>
          <w:lang w:val="es-CO" w:eastAsia="es-MX"/>
        </w:rPr>
      </w:pPr>
      <w:r w:rsidRPr="001F33F4">
        <w:rPr>
          <w:rFonts w:eastAsia="Times New Roman" w:cstheme="minorHAnsi"/>
          <w:b/>
          <w:bCs/>
          <w:color w:val="000000"/>
          <w:sz w:val="22"/>
          <w:szCs w:val="22"/>
          <w:lang w:val="es-CO" w:eastAsia="es-MX"/>
        </w:rPr>
        <w:lastRenderedPageBreak/>
        <w:t xml:space="preserve">Ruta Zero </w:t>
      </w:r>
      <w:proofErr w:type="spellStart"/>
      <w:r w:rsidRPr="001F33F4">
        <w:rPr>
          <w:rFonts w:eastAsia="Times New Roman" w:cstheme="minorHAnsi"/>
          <w:b/>
          <w:bCs/>
          <w:color w:val="000000"/>
          <w:sz w:val="22"/>
          <w:szCs w:val="22"/>
          <w:lang w:val="es-CO" w:eastAsia="es-MX"/>
        </w:rPr>
        <w:t>Waste</w:t>
      </w:r>
      <w:proofErr w:type="spellEnd"/>
      <w:r w:rsidRPr="001F33F4">
        <w:rPr>
          <w:rFonts w:eastAsia="Times New Roman" w:cstheme="minorHAnsi"/>
          <w:b/>
          <w:bCs/>
          <w:color w:val="000000"/>
          <w:sz w:val="22"/>
          <w:szCs w:val="22"/>
          <w:lang w:val="es-CO" w:eastAsia="es-MX"/>
        </w:rPr>
        <w:t xml:space="preserve"> y Escalabilidad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br/>
        <w:t>El proyecto definió una hoja de ruta clara para alcanzar el </w:t>
      </w:r>
      <w:r>
        <w:rPr>
          <w:rFonts w:eastAsia="Times New Roman" w:cstheme="minorHAnsi"/>
          <w:b/>
          <w:bCs/>
          <w:color w:val="000000"/>
          <w:sz w:val="22"/>
          <w:szCs w:val="22"/>
          <w:lang w:val="es-CO" w:eastAsia="es-MX"/>
        </w:rPr>
        <w:t>8</w:t>
      </w:r>
      <w:r w:rsidRPr="001F33F4">
        <w:rPr>
          <w:rFonts w:eastAsia="Times New Roman" w:cstheme="minorHAnsi"/>
          <w:b/>
          <w:bCs/>
          <w:color w:val="000000"/>
          <w:sz w:val="22"/>
          <w:szCs w:val="22"/>
          <w:lang w:val="es-CO" w:eastAsia="es-MX"/>
        </w:rPr>
        <w:t>0% de valorización de residuos al 2026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>, apoyada por un Manual Interno de Circularidad, procesos estandarizados y documentación preparada para auditorías. Este modelo no solo puede replicarse en otras plan</w:t>
      </w:r>
      <w:r>
        <w:rPr>
          <w:rFonts w:eastAsia="Times New Roman" w:cstheme="minorHAnsi"/>
          <w:color w:val="000000"/>
          <w:sz w:val="22"/>
          <w:szCs w:val="22"/>
          <w:lang w:val="es-CO" w:eastAsia="es-MX"/>
        </w:rPr>
        <w:t>tas similares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>, sino también escalarse a centros de distribución, puntos de venta y empresas del sector agroalimentario.</w:t>
      </w:r>
    </w:p>
    <w:p w:rsidR="00000000" w:rsidRPr="001F33F4" w:rsidRDefault="001F33F4" w:rsidP="001F33F4">
      <w:pPr>
        <w:spacing w:before="100" w:beforeAutospacing="1" w:after="100" w:afterAutospacing="1"/>
        <w:rPr>
          <w:rFonts w:eastAsia="Times New Roman" w:cstheme="minorHAnsi"/>
          <w:color w:val="000000"/>
          <w:sz w:val="22"/>
          <w:szCs w:val="22"/>
          <w:lang w:val="es-CO" w:eastAsia="es-MX"/>
        </w:rPr>
      </w:pPr>
      <w:r w:rsidRPr="001F33F4">
        <w:rPr>
          <w:rFonts w:eastAsia="Times New Roman" w:cstheme="minorHAnsi"/>
          <w:b/>
          <w:bCs/>
          <w:color w:val="000000"/>
          <w:sz w:val="22"/>
          <w:szCs w:val="22"/>
          <w:lang w:val="es-CO" w:eastAsia="es-MX"/>
        </w:rPr>
        <w:t>Conclusión</w:t>
      </w:r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br/>
        <w:t xml:space="preserve">Este caso demuestra que la circularidad en la industria alimentaria no solo es posible, sino también rentable y transformadora. A través del uso de datos, alianzas estratégicas e innovación en materiales, Frisby S.A. BIC y </w:t>
      </w:r>
      <w:proofErr w:type="spellStart"/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>CommunityLab</w:t>
      </w:r>
      <w:proofErr w:type="spellEnd"/>
      <w:r w:rsidRPr="001F33F4">
        <w:rPr>
          <w:rFonts w:eastAsia="Times New Roman" w:cstheme="minorHAnsi"/>
          <w:color w:val="000000"/>
          <w:sz w:val="22"/>
          <w:szCs w:val="22"/>
          <w:lang w:val="es-CO" w:eastAsia="es-MX"/>
        </w:rPr>
        <w:t xml:space="preserve"> han desarrollado un marco replicable en el que </w:t>
      </w:r>
      <w:r w:rsidRPr="001F33F4">
        <w:rPr>
          <w:rFonts w:eastAsia="Times New Roman" w:cstheme="minorHAnsi"/>
          <w:b/>
          <w:bCs/>
          <w:color w:val="000000"/>
          <w:sz w:val="22"/>
          <w:szCs w:val="22"/>
          <w:lang w:val="es-CO" w:eastAsia="es-MX"/>
        </w:rPr>
        <w:t>el residuo se convierte en una oportunidad de diseño y en un motor de ventaja competitiva</w:t>
      </w:r>
    </w:p>
    <w:sectPr w:rsidR="00507E1A" w:rsidRPr="001F33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607"/>
    <w:rsid w:val="000A3FCA"/>
    <w:rsid w:val="001F33F4"/>
    <w:rsid w:val="00B53C96"/>
    <w:rsid w:val="00BD2E00"/>
    <w:rsid w:val="00C0425E"/>
    <w:rsid w:val="00D6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E8A98"/>
  <w15:chartTrackingRefBased/>
  <w15:docId w15:val="{7AB3F880-7C40-5248-BAE8-F48042577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paragraph" w:styleId="Ttulo1">
    <w:name w:val="heading 1"/>
    <w:basedOn w:val="Normal"/>
    <w:link w:val="Ttulo1Car"/>
    <w:uiPriority w:val="9"/>
    <w:qFormat/>
    <w:rsid w:val="001F33F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CO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F33F4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1F33F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CO" w:eastAsia="es-MX"/>
    </w:rPr>
  </w:style>
  <w:style w:type="character" w:customStyle="1" w:styleId="apple-converted-space">
    <w:name w:val="apple-converted-space"/>
    <w:basedOn w:val="Fuentedeprrafopredeter"/>
    <w:rsid w:val="001F33F4"/>
  </w:style>
  <w:style w:type="character" w:styleId="Textoennegrita">
    <w:name w:val="Strong"/>
    <w:basedOn w:val="Fuentedeprrafopredeter"/>
    <w:uiPriority w:val="22"/>
    <w:qFormat/>
    <w:rsid w:val="001F33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66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578</Words>
  <Characters>3180</Characters>
  <Application>Microsoft Office Word</Application>
  <DocSecurity>0</DocSecurity>
  <Lines>26</Lines>
  <Paragraphs>7</Paragraphs>
  <ScaleCrop>false</ScaleCrop>
  <Company/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2025-07-14T19:48:00Z</dcterms:created>
  <dcterms:modified xsi:type="dcterms:W3CDTF">2025-07-14T19:48:00Z</dcterms:modified>
</cp:coreProperties>
</file>