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90280" w:rsidRDefault="00C40641">
      <w:pPr>
        <w:spacing w:before="120" w:after="120"/>
        <w:jc w:val="center"/>
        <w:rPr>
          <w:b/>
        </w:rPr>
      </w:pPr>
      <w:r>
        <w:rPr>
          <w:noProof/>
        </w:rPr>
        <w:drawing>
          <wp:inline distT="114300" distB="114300" distL="114300" distR="114300" wp14:anchorId="08C03A90" wp14:editId="519368FF">
            <wp:extent cx="6308125" cy="1388745"/>
            <wp:effectExtent l="0" t="0" r="0" b="1905"/>
            <wp:docPr id="211789134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6387839" cy="1406294"/>
                    </a:xfrm>
                    <a:prstGeom prst="rect">
                      <a:avLst/>
                    </a:prstGeom>
                    <a:ln/>
                  </pic:spPr>
                </pic:pic>
              </a:graphicData>
            </a:graphic>
          </wp:inline>
        </w:drawing>
      </w:r>
    </w:p>
    <w:p w:rsidR="000926F8" w:rsidRPr="00190BA3" w:rsidRDefault="000926F8" w:rsidP="000926F8">
      <w:pPr>
        <w:spacing w:before="120" w:after="120"/>
        <w:jc w:val="center"/>
        <w:rPr>
          <w:b/>
          <w:sz w:val="28"/>
          <w:szCs w:val="28"/>
        </w:rPr>
      </w:pPr>
      <w:r w:rsidRPr="00190BA3">
        <w:rPr>
          <w:b/>
          <w:sz w:val="28"/>
          <w:szCs w:val="28"/>
        </w:rPr>
        <w:t>Por Dentro da MMGD: O Que os Dados Abertos da ANEEL Revelam (e O Que Ainda Falta Revelar)</w:t>
      </w:r>
    </w:p>
    <w:p w:rsidR="000926F8" w:rsidRPr="007672B3" w:rsidRDefault="000926F8" w:rsidP="000926F8">
      <w:pPr>
        <w:spacing w:before="120" w:after="120"/>
        <w:jc w:val="center"/>
        <w:rPr>
          <w:b/>
        </w:rPr>
      </w:pPr>
      <w:r>
        <w:t>Frank Toshioka</w:t>
      </w:r>
      <w:r>
        <w:rPr>
          <w:vertAlign w:val="superscript"/>
        </w:rPr>
        <w:footnoteReference w:id="1"/>
      </w:r>
    </w:p>
    <w:p w:rsidR="00190280" w:rsidRDefault="00190280">
      <w:pPr>
        <w:spacing w:before="120" w:after="120"/>
        <w:jc w:val="center"/>
        <w:rPr>
          <w:b/>
        </w:rPr>
      </w:pPr>
    </w:p>
    <w:p w:rsidR="000926F8" w:rsidRDefault="000926F8" w:rsidP="000926F8">
      <w:pPr>
        <w:spacing w:before="120" w:after="120"/>
        <w:rPr>
          <w:b/>
        </w:rPr>
      </w:pPr>
      <w:r>
        <w:rPr>
          <w:b/>
        </w:rPr>
        <w:t>RESUMO</w:t>
      </w:r>
    </w:p>
    <w:p w:rsidR="00190280" w:rsidRDefault="000926F8" w:rsidP="00F8003B">
      <w:pPr>
        <w:rPr>
          <w:b/>
        </w:rPr>
      </w:pPr>
      <w:r w:rsidRPr="00190BA3">
        <w:t xml:space="preserve">Este artigo apresenta uma análise técnica e crítica da base de dados abertos disponibilizada pela Agência Nacional de Energia Elétrica (ANEEL), que reúne informações sobre os empreendimentos de micro e minigeração distribuída (MMGD) em todo o território nacional. O foco da análise é exclusivamente a planilha em Excel que consolida as informações mais relevantes desses empreendimentos, permitindo compreender com profundidade a estrutura atual da MMGD no Brasil, suas potencialidades analíticas e as principais limitações que ainda desafiam o planejamento energético, a formulação de políticas públicas e a tomada de decisões por agentes do setor. A planilha analisada contempla variáveis como data de referência, código da distribuidora, identificação do agente, unidade federativa, município, classe de consumo, subgrupo tarifário, tipo de consumidor, modalidade da geração distribuída, fonte primária de energia, classificação por porte (micro ou minigeração), potência instalada em quilowatts e coordenadas geográficas do empreendimento. A riqueza dessa base é evidente, mas sua aplicabilidade prática ainda enfrenta obstáculos que comprometem o pleno aproveitamento dos dados para finalidades estratégicas e regulatórias. Durante a análise exploratória, conduzida exclusivamente com o uso do Microsoft Excel, foram identificadas cinco dores centrais que limitam a utilidade da base de dados e revelam pontos críticos de aprimoramento. A primeira dor está relacionada à qualidade dos dados de potência instalada, que deveria ser o campo mais sólido da planilha, já que representa diretamente o impacto de cada empreendimento no sistema elétrico. Entretanto, observa-se a presença de registros com potência nula, em branco ou com inconsistências na formatação numérica, como o uso simultâneo de vírgulas e pontos, o que compromete o cálculo de totais por região, distribuidora ou classe de consumo. Além disso, há registros de empreendimentos classificados como ativos que apresentam potência igual a zero, o que sugere erros de digitação ou falhas de validação no envio dos dados. A segunda dor refere-se à falta de padronização nas coordenadas geográficas dos empreendimentos, disponibilizadas nas colunas de latitude e longitude. Apesar de sua inclusão representar um avanço em termos de transparência e possibilidade de georreferenciamento, a realidade dos dados mostra que muitas coordenadas estão ausentes, nulas, invertidas ou inseridas em formatos distintos (graus decimais, minutos, ou separados com vírgula em vez de ponto). Essa situação inviabiliza a aplicação direta dos dados em plataformas de mapeamento, exigindo limpeza manual, padronização prévia e, em muitos casos, o uso de ferramentas como o Google Earth para validação visual. Com isso, perde-se o potencial de realizar análises espaciais automatizadas, cruzamentos com redes de distribuição, identificação de clusters territoriais e avaliações de </w:t>
      </w:r>
      <w:r w:rsidRPr="00190BA3">
        <w:lastRenderedPageBreak/>
        <w:t xml:space="preserve">pressão sobre ativos físicos da rede. A terceira dor identificada diz respeito à ausência de vínculos claros com os ativos de rede relacionados aos pontos de geração, como subestações, alimentadores, transformadores ou tensão nominal do ponto de conexão. Embora exista uma coluna nomeada “Nome da Subestação”, em boa parte dos registros esse campo permanece em branco ou apresenta nomenclaturas inconsistentes, que dificultam qualquer tentativa de agrupamento ou associação com o planejamento físico das distribuidoras. Essa ausência limita severamente a possibilidade de usar a base de dados para avaliações estruturais, como análise </w:t>
      </w:r>
    </w:p>
    <w:p w:rsidR="000926F8" w:rsidRDefault="002D64C8" w:rsidP="00F8003B">
      <w:pPr>
        <w:spacing w:before="120" w:after="120"/>
      </w:pPr>
      <w:r>
        <w:t xml:space="preserve">de </w:t>
      </w:r>
      <w:r w:rsidR="000926F8" w:rsidRPr="00190BA3">
        <w:t>conexão à rede, tensão de ligação, tipo de compensação de créditos (local, remoto, compartilhado), uso de armazenamento associado, entre outros. A falta dessas informações reduz a profundidade das análises e impossibilita responder a perguntas relevantes para o setor, como: qual o tempo médio entre cadastro e conexão? Quantos empreendimentos estão efetivamente ativos? Qual a distribuição por tipo de compensação? Essas lacunas reduzem a capacidade da base de apoiar estudos técnicos mais robustos ou subsidiar decisões regulatórias com maior precisão. A quinta e última dor diz respeito à fragilidade na consistência e validação cruzada dos dados enviados pelas distribuidoras. A planilha consolidada da ANEEL depende das informações prestadas por diferentes agentes, o que gera um conjunto de registros com variações de nomenclatura, campos obrigatórios preenchidos de forma incompleta, nomes divergentes para o mesmo agente ou distribuidora, e ausência de validação estruturada de campos-chave como CNPJ, porte ou tipo de geração. Essa inconsistência interinstitucional compromete a integridade dos dados e dificulta qualquer tentativa de criar painéis analíticos padronizados em nível nacional. Embora todas essas dores apontem para fragilidades importantes, a base em si representa uma conquista em termos de dados abertos no setor elétrico. É possível identificar, por exemplo, as classes de consumo mais representativas da MMGD, os estados com maior número de registros, a prevalência da fonte solar fotovoltaica sobre outras tecnologias, e a evolução da modalidade de autoconsumo remoto. A simples combinação de filtros no Excel já permite análises úteis para pesquisadores, empresas, gestores públicos e reguladores. Além disso, a base possui potencial para subsidiar estudos sobre descentralização energética, democratização do acesso à geração própria, impacto sobre redes de distribuição locais, e até mesmo estudos sobre desigualdade regional no acesso à tecnologia solar. A partir da análise detalhada da planilha, são feitas sugestões práticas e objetivas de aprimoramento da base: criação de validações automáticas nos campos de potência, porte e coordenadas; obrigatoriedade de preenchimento dos dados geográficos com padronização nacional; integração do código da unidade consumidora ou identificador do ponto de conexão com as redes físicas da distribuidora; abertura de campo específico para indicar o status operacional atualizado; e inclusão de informações complementares como tipo de compensação, tensão nominal e presença de baterias. A adoção dessas melhorias transformaria a base de dados da MMGD em um instrumento de planejamento técnico de primeira linha, viabilizando análises estruturadas por parte de universidades, centros de pesquisa, startups, agentes de distribuição, comercializadores e órgãos públicos. O avanço na qualidade e granularidade da informação tornaria possível, por exemplo, antecipar zonas de sobrecarga, identificar pontos de fragilidade da rede, priorizar reforços elétricos e promover ações de planejamento colaborativo com base em evidência. Em síntese, a planilha de MMGD da ANEEL é uma base rica, mas subaproveitada. Seus dados, quando bem tratados, permitem diagnósticos relevantes, mas suas lacunas ainda impedem que ela se torne um padrão nacional de referência. A proposta deste artigo é valorizar o que já existe, apontar com clareza o que precisa evoluir, e incentivar o uso consciente e técnico dos dados públicos como motor da inovação aberta no setor elétrico. Ao promover transparência, interoperabilidade e acessibilidade, o Brasil pode transformar sua base de MMGD em um modelo internacional de governança de dados aplicados à transição energética.</w:t>
      </w:r>
    </w:p>
    <w:p w:rsidR="000926F8" w:rsidRDefault="000926F8" w:rsidP="000926F8">
      <w:pPr>
        <w:spacing w:before="120" w:after="120"/>
      </w:pPr>
      <w:r>
        <w:rPr>
          <w:b/>
        </w:rPr>
        <w:t>PALAVRAS-CHAVE</w:t>
      </w:r>
      <w:r>
        <w:t xml:space="preserve">: </w:t>
      </w:r>
      <w:r w:rsidRPr="00C71F75">
        <w:t>ANEEL, MMGD, dados abertos, planejamento energético, microgeração distribuída</w:t>
      </w:r>
    </w:p>
    <w:p w:rsidR="000926F8" w:rsidRDefault="000926F8" w:rsidP="000926F8"/>
    <w:tbl>
      <w:tblPr>
        <w:tblStyle w:val="a0"/>
        <w:tblW w:w="906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773"/>
        <w:gridCol w:w="5294"/>
      </w:tblGrid>
      <w:tr w:rsidR="000926F8" w:rsidTr="00675B4D">
        <w:trPr>
          <w:trHeight w:val="273"/>
        </w:trPr>
        <w:tc>
          <w:tcPr>
            <w:tcW w:w="3773" w:type="dxa"/>
          </w:tcPr>
          <w:p w:rsidR="000926F8" w:rsidRDefault="000926F8" w:rsidP="00675B4D">
            <w:pPr>
              <w:jc w:val="center"/>
              <w:rPr>
                <w:b/>
              </w:rPr>
            </w:pPr>
            <w:r>
              <w:rPr>
                <w:b/>
              </w:rPr>
              <w:t>NOME DO ATOR</w:t>
            </w:r>
          </w:p>
        </w:tc>
        <w:tc>
          <w:tcPr>
            <w:tcW w:w="5294" w:type="dxa"/>
          </w:tcPr>
          <w:p w:rsidR="000926F8" w:rsidRDefault="000926F8" w:rsidP="00675B4D">
            <w:pPr>
              <w:jc w:val="center"/>
              <w:rPr>
                <w:b/>
              </w:rPr>
            </w:pPr>
            <w:r>
              <w:rPr>
                <w:b/>
              </w:rPr>
              <w:t>PAPEL NO ECOSSISTEMA</w:t>
            </w:r>
          </w:p>
        </w:tc>
      </w:tr>
      <w:tr w:rsidR="000926F8" w:rsidTr="00675B4D">
        <w:trPr>
          <w:trHeight w:val="273"/>
        </w:trPr>
        <w:tc>
          <w:tcPr>
            <w:tcW w:w="3773" w:type="dxa"/>
          </w:tcPr>
          <w:p w:rsidR="000926F8" w:rsidRDefault="000926F8" w:rsidP="00675B4D">
            <w:r>
              <w:t>Frank Toshioka</w:t>
            </w:r>
          </w:p>
        </w:tc>
        <w:tc>
          <w:tcPr>
            <w:tcW w:w="5294" w:type="dxa"/>
          </w:tcPr>
          <w:p w:rsidR="000926F8" w:rsidRDefault="000926F8" w:rsidP="00675B4D">
            <w:r>
              <w:t>Startup</w:t>
            </w:r>
          </w:p>
        </w:tc>
      </w:tr>
    </w:tbl>
    <w:p w:rsidR="000926F8" w:rsidRDefault="000926F8" w:rsidP="000926F8"/>
    <w:p w:rsidR="000926F8" w:rsidRDefault="000926F8" w:rsidP="000926F8">
      <w:pPr>
        <w:rPr>
          <w:b/>
        </w:rPr>
      </w:pPr>
    </w:p>
    <w:p w:rsidR="000926F8" w:rsidRDefault="000926F8" w:rsidP="000926F8">
      <w:pPr>
        <w:rPr>
          <w:b/>
        </w:rPr>
      </w:pPr>
      <w:r>
        <w:rPr>
          <w:b/>
        </w:rPr>
        <w:t xml:space="preserve">1. SITUAÇÃO PROBLEMA DE OPEN INNOVATION </w:t>
      </w:r>
    </w:p>
    <w:p w:rsidR="000926F8" w:rsidRDefault="000926F8" w:rsidP="000926F8">
      <w:pPr>
        <w:spacing w:before="120" w:after="120"/>
      </w:pPr>
    </w:p>
    <w:p w:rsidR="000926F8" w:rsidRDefault="000926F8" w:rsidP="000926F8">
      <w:pPr>
        <w:spacing w:before="120" w:after="120"/>
        <w:ind w:firstLine="851"/>
      </w:pPr>
      <w:r>
        <w:t>A crescente expansão da micro e minigeração distribuída (MMGD) no Brasil, impulsionada pela popularização da energia solar fotovoltaica e pelas mudanças regulatórias, trouxe consigo uma explosão de dados relacionados a novos empreendimentos conectados à rede. Para garantir transparência e controle social, a Agência Nacional de Energia Elétrica (ANEEL) disponibiliza uma planilha pública contendo informações técnicas e cadastrais desses empreendimentos. No entanto, ao tentar utilizar essa base para fins analíticos, operacionais ou regulatórios, surgem obstáculos significativos que comprometem a utilidade dos dados.</w:t>
      </w:r>
    </w:p>
    <w:p w:rsidR="000926F8" w:rsidRDefault="000926F8" w:rsidP="000926F8">
      <w:pPr>
        <w:spacing w:before="120" w:after="120"/>
        <w:ind w:firstLine="851"/>
      </w:pPr>
      <w:r>
        <w:t>O problema central que motivou esta prática de open innovation reside na baixa qualidade estrutural e na ausência de padronização da base de dados. Informações críticas como potência instalada, coordenadas geográficas, vínculo com infraestrutura física, classificação da unidade geradora e identificação precisa do agente distribuidor apresentam inconsistências, lacunas ou erros sistemáticos. Além disso, há ausência de metadados essenciais e dificuldade de integração com outras bases públicas, o que prejudica a utilização dos dados para planejamento energético, estudos de rede, projeções regulatórias e avaliações de impacto.</w:t>
      </w:r>
    </w:p>
    <w:p w:rsidR="000926F8" w:rsidRDefault="000926F8" w:rsidP="000926F8">
      <w:pPr>
        <w:spacing w:before="120" w:after="120"/>
        <w:ind w:firstLine="851"/>
      </w:pPr>
      <w:r>
        <w:t>Essa fragilidade dos dados compromete diretamente atores como planejadores do setor, empresas de distribuição, pesquisadores, analistas de mercado e reguladores. A ausência de uma base confiável gera retrabalho, decisões imprecisas e até mesmo riscos operacionais em regiões com forte crescimento da MMGD. O potencial de uso dos dados abertos como insumo estratégico é subaproveitado pela ausência de uma estrutura robusta, o que gerou a necessidade de uma intervenção estruturada baseada em inovação aberta, utilizando unicamente ferramentas públicas e acessíveis para análise crítica da base.</w:t>
      </w:r>
    </w:p>
    <w:p w:rsidR="000926F8" w:rsidRDefault="000926F8" w:rsidP="000926F8">
      <w:pPr>
        <w:spacing w:before="120" w:after="120"/>
        <w:ind w:firstLine="851"/>
      </w:pPr>
      <w:r>
        <w:t>A prática de open innovation aqui consiste em aplicar metodologias de diagnóstico e mapeamento de qualidade de dados diretamente sobre a planilha disponibilizada pela ANEEL, sem o uso de recursos proprietários ou algoritmos restritos, permitindo a reprodução por qualquer interessado. A proposta se baseia na valorização dos dados abertos como pilar de governança e transformação digital no setor elétrico. Trata-se, portanto, de uma resposta inovadora a um problema técnico-institucional que afeta diretamente o avanço da inteligência regulatória e do planejamento energético descentralizado no Brasil.</w:t>
      </w:r>
    </w:p>
    <w:p w:rsidR="000926F8" w:rsidRDefault="000926F8" w:rsidP="000926F8">
      <w:pPr>
        <w:spacing w:before="120" w:after="120"/>
      </w:pPr>
    </w:p>
    <w:p w:rsidR="000926F8" w:rsidRDefault="000926F8" w:rsidP="000926F8">
      <w:pPr>
        <w:spacing w:before="120" w:after="120"/>
        <w:rPr>
          <w:b/>
        </w:rPr>
      </w:pPr>
      <w:r>
        <w:rPr>
          <w:b/>
        </w:rPr>
        <w:t>2. INTERVENÇÃO</w:t>
      </w:r>
    </w:p>
    <w:p w:rsidR="00937AA9" w:rsidRDefault="00937AA9" w:rsidP="000926F8">
      <w:pPr>
        <w:spacing w:before="120" w:after="120"/>
        <w:rPr>
          <w:b/>
        </w:rPr>
      </w:pPr>
    </w:p>
    <w:p w:rsidR="000926F8" w:rsidRPr="00263B58" w:rsidRDefault="000926F8" w:rsidP="000926F8">
      <w:pPr>
        <w:spacing w:before="100" w:beforeAutospacing="1" w:after="100" w:afterAutospacing="1"/>
        <w:ind w:firstLine="851"/>
      </w:pPr>
      <w:r w:rsidRPr="00263B58">
        <w:t>A solução de open innovation adotada neste estudo consistiu em uma análise técnica, criteriosa e replicável da base pública de dados da ANEEL sobre geração distribuída. A intervenção teve como objetivo principal identificar as fragilidades e oportunidades presentes na planilha oficial, com base em critérios de completude, consistência, padronização e aplicabilidade prática para o setor elétrico. A solução pretendida não foi uma nova tecnologia ou ferramenta computacional, mas uma metodologia clara e acessível de diagnóstico de dados com foco em cinco dores principais.</w:t>
      </w:r>
    </w:p>
    <w:p w:rsidR="000926F8" w:rsidRPr="00263B58" w:rsidRDefault="000926F8" w:rsidP="000926F8">
      <w:pPr>
        <w:spacing w:before="100" w:beforeAutospacing="1" w:after="100" w:afterAutospacing="1"/>
        <w:ind w:firstLine="851"/>
      </w:pPr>
      <w:r w:rsidRPr="00263B58">
        <w:t>A solução é uma abordagem de auditoria qualitativa e quantitativa realizada inteiramente sobre a planilha em formato .csv disponibilizada no portal de dados abertos da ANEEL. A proposta utilizou exclusivamente ferramentas amplamente disponíveis, como o Excel, garantindo que qualquer profissional do setor ou pesquisador possa reproduzir o processo. A metodologia foi fundamentada em quatro pilares: 1) verificação de preenchimento obrigatório; 2) análise da integridade das coordenadas geográficas; 3) identificação de padrões divergentes nos nomes de agentes e distribuidoras; 4) cruzamento lógico de campos técnicos; 5) análise das lacunas regulatórias não refletidas nos dados.</w:t>
      </w:r>
    </w:p>
    <w:p w:rsidR="000926F8" w:rsidRPr="00263B58" w:rsidRDefault="000926F8" w:rsidP="000926F8">
      <w:pPr>
        <w:spacing w:before="100" w:beforeAutospacing="1" w:after="100" w:afterAutospacing="1"/>
        <w:ind w:firstLine="851"/>
      </w:pPr>
      <w:r w:rsidRPr="00263B58">
        <w:t>Foi necessário organizar a base em grupos temáticos, padronizar colunas, eliminar registros duplicados e aplicar filtros técnicos para detectar erros recorrentes. O tratamento dos dados seguiu um roteiro de validação visual e lógica com base nas boas práticas de gestão de dados, seguindo as recomendações de órgãos como EPE, ONS e CCEE, adaptadas ao escopo simplificado da planilha.</w:t>
      </w:r>
    </w:p>
    <w:p w:rsidR="000926F8" w:rsidRDefault="000926F8" w:rsidP="00937AA9">
      <w:pPr>
        <w:spacing w:before="100" w:beforeAutospacing="1" w:after="100" w:afterAutospacing="1"/>
        <w:ind w:firstLine="851"/>
      </w:pPr>
      <w:r w:rsidRPr="00263B58">
        <w:t>Além disso, foi realizada uma classificação dos tipos de geração, uma verificação da presença de subestações e alimentadores vinculados e uma análise por região e classe de consumo. A proposta teve como princípio norteador a democratização do uso de dados públicos no setor energético e a sua elevação como instrumento de inteligência setorial. Esta intervenção demonstra que, com organização e rigor metodológico, é possível extrair valor mesmo de bases com limitações estruturais.</w:t>
      </w:r>
    </w:p>
    <w:p w:rsidR="00937AA9" w:rsidRDefault="00937AA9" w:rsidP="00937AA9">
      <w:pPr>
        <w:spacing w:before="100" w:beforeAutospacing="1" w:after="100" w:afterAutospacing="1"/>
        <w:ind w:firstLine="851"/>
      </w:pPr>
    </w:p>
    <w:p w:rsidR="000926F8" w:rsidRDefault="000926F8" w:rsidP="000926F8">
      <w:pPr>
        <w:spacing w:before="120" w:after="120"/>
        <w:rPr>
          <w:b/>
        </w:rPr>
      </w:pPr>
      <w:r>
        <w:rPr>
          <w:b/>
        </w:rPr>
        <w:t xml:space="preserve">3. RESULTADOS </w:t>
      </w:r>
    </w:p>
    <w:p w:rsidR="00937AA9" w:rsidRDefault="00937AA9" w:rsidP="000926F8">
      <w:pPr>
        <w:spacing w:before="120" w:after="120"/>
        <w:rPr>
          <w:b/>
        </w:rPr>
      </w:pPr>
    </w:p>
    <w:p w:rsidR="000926F8" w:rsidRPr="00263B58" w:rsidRDefault="000926F8" w:rsidP="000926F8">
      <w:pPr>
        <w:spacing w:before="100" w:beforeAutospacing="1" w:after="100" w:afterAutospacing="1"/>
        <w:ind w:firstLine="851"/>
      </w:pPr>
      <w:r w:rsidRPr="00263B58">
        <w:t>A análise da base de dados da ANEEL resultou na identificação clara e documentada de cinco grandes dores que impactam diretamente a confiabilidade e aplicabilidade dos dados públicos de MMGD para fins regulatórios, operacionais e analíticos. O primeiro resultado foi o mapeamento da ausência sistemática de valores de potência instalada em milhares de registros, o que compromete qualquer tentativa de cálculo agregado por estado, por agente ou por classe de consumo. Essa ausência também inviabiliza o uso da base para subsidiar projeções da carga da MMGD em planejamentos oficiais.</w:t>
      </w:r>
    </w:p>
    <w:p w:rsidR="000926F8" w:rsidRDefault="000926F8" w:rsidP="000926F8">
      <w:pPr>
        <w:spacing w:before="100" w:beforeAutospacing="1" w:after="100" w:afterAutospacing="1"/>
        <w:ind w:firstLine="851"/>
      </w:pPr>
      <w:r w:rsidRPr="00263B58">
        <w:t xml:space="preserve">O segundo resultado foi a constatação de que grande parte das coordenadas geográficas dos empreendimentos estão ausentes, incorretas ou padronizadas em um mesmo ponto genérico, impedindo qualquer georreferenciamento técnico, integração com mapas de rede ou estudos espaciais detalhados. </w:t>
      </w:r>
    </w:p>
    <w:p w:rsidR="000926F8" w:rsidRPr="00263B58" w:rsidRDefault="000926F8" w:rsidP="000926F8">
      <w:pPr>
        <w:spacing w:before="100" w:beforeAutospacing="1" w:after="100" w:afterAutospacing="1"/>
        <w:ind w:firstLine="851"/>
      </w:pPr>
      <w:r w:rsidRPr="00263B58">
        <w:t>O terceiro resultado se refere à inconsistência na nomenclatura de distribuidoras e agentes, o que gera duplicações e impede agrupamentos consistentes por agente, prejudicando estudos por concessionária ou áreas de concessão.</w:t>
      </w:r>
    </w:p>
    <w:p w:rsidR="000926F8" w:rsidRDefault="000926F8" w:rsidP="000926F8">
      <w:pPr>
        <w:spacing w:before="100" w:beforeAutospacing="1" w:after="100" w:afterAutospacing="1"/>
        <w:ind w:firstLine="851"/>
      </w:pPr>
      <w:r w:rsidRPr="00263B58">
        <w:t xml:space="preserve">O quarto resultado foi a evidência de que não há campos específicos para indicar de forma padronizada a subestação de conexão, alimentadores ou transformadores associados, o que inviabiliza estudos de reforço de rede, planejamento da infraestrutura ou identificação de pontos críticos. </w:t>
      </w:r>
    </w:p>
    <w:p w:rsidR="000926F8" w:rsidRPr="00263B58" w:rsidRDefault="000926F8" w:rsidP="000926F8">
      <w:pPr>
        <w:spacing w:before="100" w:beforeAutospacing="1" w:after="100" w:afterAutospacing="1"/>
        <w:ind w:firstLine="851"/>
      </w:pPr>
      <w:r w:rsidRPr="00263B58">
        <w:t>E, por fim, o quinto resultado mostrou a ausência de metadados essenciais como tensão de conexão, status de operação (ativo, inativo, cancelado), tipo de compensação de energia e</w:t>
      </w:r>
      <w:r w:rsidR="00DA7BF4">
        <w:t xml:space="preserve"> </w:t>
      </w:r>
      <w:r w:rsidRPr="00263B58">
        <w:t>data de entrada em operação comercial, o que limita a utilidade da base para validação de dados comerciais ou técnicos.</w:t>
      </w:r>
    </w:p>
    <w:p w:rsidR="000926F8" w:rsidRPr="00263B58" w:rsidRDefault="000926F8" w:rsidP="000926F8">
      <w:pPr>
        <w:spacing w:before="100" w:beforeAutospacing="1" w:after="100" w:afterAutospacing="1"/>
        <w:ind w:firstLine="851"/>
      </w:pPr>
      <w:r w:rsidRPr="00263B58">
        <w:t>Esses resultados foram documentados e organizados em um modelo de apresentação didático que pode ser replicado por outras entidades ou instituições interessadas em diagnosticar e utilizar os dados da MMGD. Para além dos resultados técnicos, o estudo gerou reflexões sobre a importância da governança de dados públicos, o papel da ANEEL como curadora da informação e a urgência de uma política nacional de dados estruturados para o setor elétrico. O impacto se estende para pesquisadores, agentes do setor e formuladores de políticas públicas.</w:t>
      </w:r>
    </w:p>
    <w:p w:rsidR="000926F8" w:rsidRDefault="000926F8" w:rsidP="000926F8">
      <w:pPr>
        <w:spacing w:before="120" w:after="120"/>
      </w:pPr>
    </w:p>
    <w:p w:rsidR="000926F8" w:rsidRDefault="000926F8" w:rsidP="000926F8">
      <w:pPr>
        <w:spacing w:before="120" w:after="120"/>
        <w:rPr>
          <w:b/>
        </w:rPr>
      </w:pPr>
      <w:r>
        <w:rPr>
          <w:b/>
        </w:rPr>
        <w:t>4. CONTRIBUIÇÕES</w:t>
      </w:r>
    </w:p>
    <w:p w:rsidR="00937AA9" w:rsidRDefault="00937AA9" w:rsidP="000926F8">
      <w:pPr>
        <w:spacing w:before="120" w:after="120"/>
        <w:rPr>
          <w:b/>
        </w:rPr>
      </w:pPr>
    </w:p>
    <w:p w:rsidR="000926F8" w:rsidRDefault="000926F8" w:rsidP="000926F8">
      <w:pPr>
        <w:spacing w:before="100" w:beforeAutospacing="1" w:after="100" w:afterAutospacing="1"/>
        <w:ind w:firstLine="851"/>
      </w:pPr>
      <w:r w:rsidRPr="00263B58">
        <w:t xml:space="preserve">As contribuições do estudo são significativas em diferentes dimensões. </w:t>
      </w:r>
    </w:p>
    <w:p w:rsidR="000926F8" w:rsidRPr="00263B58" w:rsidRDefault="000926F8" w:rsidP="000926F8">
      <w:pPr>
        <w:spacing w:before="100" w:beforeAutospacing="1" w:after="100" w:afterAutospacing="1"/>
        <w:ind w:firstLine="851"/>
      </w:pPr>
      <w:r w:rsidRPr="00263B58">
        <w:t>No campo econômico, a proposta demonstra como a estruturação adequada de dados públicos pode evitar retrabalho, reduzir custos operacionais, eliminar ineficiências e apoiar o desenvolvimento de soluções de inteligência de rede e previsão de carga com menor dependência de bases privadas. A ausência de dados críticos pode gerar prejuízos, atrasos em investimentos e erros de dimensionamento da infraestrutura elétrica.</w:t>
      </w:r>
    </w:p>
    <w:p w:rsidR="000926F8" w:rsidRDefault="000926F8" w:rsidP="000926F8">
      <w:pPr>
        <w:spacing w:before="100" w:beforeAutospacing="1" w:after="100" w:afterAutospacing="1"/>
        <w:ind w:firstLine="851"/>
      </w:pPr>
      <w:r w:rsidRPr="00263B58">
        <w:t xml:space="preserve">No aspecto social, o estudo promove a democratização da informação e permite que agentes de pequeno porte, municípios e até consumidores organizados tenham acesso qualificado a dados que podem orientar decisões energéticas locais. Essa transparência fortalece o controle social e a participação cidadã nas decisões energéticas regionais. </w:t>
      </w:r>
    </w:p>
    <w:p w:rsidR="000926F8" w:rsidRPr="00263B58" w:rsidRDefault="000926F8" w:rsidP="000926F8">
      <w:pPr>
        <w:spacing w:before="100" w:beforeAutospacing="1" w:after="100" w:afterAutospacing="1"/>
        <w:ind w:firstLine="851"/>
      </w:pPr>
      <w:r w:rsidRPr="00263B58">
        <w:t>Ambientalmente, o uso mais preciso dos dados pode permitir o dimensionamento correto da expansão da MMGD, reduzindo sobrecargas, evitando o uso desnecessário de térmicas e promovendo maior eficiência energética.</w:t>
      </w:r>
    </w:p>
    <w:p w:rsidR="000926F8" w:rsidRPr="00263B58" w:rsidRDefault="000926F8" w:rsidP="000926F8">
      <w:pPr>
        <w:spacing w:before="100" w:beforeAutospacing="1" w:after="100" w:afterAutospacing="1"/>
        <w:ind w:firstLine="851"/>
      </w:pPr>
      <w:r w:rsidRPr="00263B58">
        <w:t>Tecnologicamente, a análise propõe uma abordagem estruturada e replicável para auditoria de dados públicos, que pode ser adaptada a outras bases e servir de modelo para organizações setoriais e institutos de pesquisa. Além disso, propõe critérios técnicos mínimos para publicação de dados com aplicabilidade regulatória. Essa proposta contribui diretamente para a evolução da governança de dados do setor elétrico.</w:t>
      </w:r>
    </w:p>
    <w:p w:rsidR="000926F8" w:rsidRDefault="000926F8" w:rsidP="001410CE">
      <w:pPr>
        <w:spacing w:before="100" w:beforeAutospacing="1" w:after="100" w:afterAutospacing="1"/>
        <w:ind w:firstLine="851"/>
      </w:pPr>
      <w:r w:rsidRPr="00263B58">
        <w:t>No campo prático-gerencial, a intervenção oferece um roteiro de análise que pode ser utilizado por distribuidoras, agências reguladoras, empresas de tecnologia e universidades. Também propõe indicadores de qualidade de dados e categorias de inconsistência que podem orientar revisões na forma de coleta e publicação da base de dados da ANEEL. A contribuição final é estratégica: incentivar uma cultura setorial baseada em dados, na qual a tomada de decisão seja sustentada por evidências púb</w:t>
      </w:r>
      <w:r>
        <w:t>licas confiáveis e auditáveis.</w:t>
      </w:r>
    </w:p>
    <w:p w:rsidR="000926F8" w:rsidRDefault="000926F8" w:rsidP="000926F8">
      <w:pPr>
        <w:spacing w:before="120" w:after="120"/>
        <w:jc w:val="center"/>
        <w:rPr>
          <w:b/>
        </w:rPr>
      </w:pPr>
      <w:r>
        <w:rPr>
          <w:b/>
        </w:rPr>
        <w:t>AGRADECIMENTOS</w:t>
      </w:r>
    </w:p>
    <w:p w:rsidR="000926F8" w:rsidRDefault="000926F8" w:rsidP="00831112">
      <w:pPr>
        <w:pStyle w:val="NormalWeb"/>
        <w:ind w:firstLine="851"/>
        <w:jc w:val="both"/>
      </w:pPr>
      <w:r>
        <w:t>Agradeço à Agência Nacional de Energia Elétrica (ANEEL) pela disponibilização de dados públicos de geração distribuída, que viabilizam análises técnicas independentes e contribuem significativamente para a inovação aberta no setor elétrico brasileiro. Este trabalho também se apoia no compromisso das instituições reguladoras e operadoras do setor com a transparência e a democratização das informações energéticas.</w:t>
      </w:r>
    </w:p>
    <w:p w:rsidR="000926F8" w:rsidRDefault="000926F8" w:rsidP="000926F8">
      <w:pPr>
        <w:spacing w:before="120" w:after="120"/>
      </w:pPr>
    </w:p>
    <w:p w:rsidR="000926F8" w:rsidRDefault="006C368C" w:rsidP="000926F8">
      <w:pPr>
        <w:spacing w:before="120" w:after="120"/>
        <w:jc w:val="center"/>
        <w:rPr>
          <w:b/>
        </w:rPr>
      </w:pPr>
      <w:r>
        <w:rPr>
          <w:b/>
        </w:rPr>
        <w:t>REFERÊ</w:t>
      </w:r>
      <w:r w:rsidR="000926F8">
        <w:rPr>
          <w:b/>
        </w:rPr>
        <w:t>NCIAS</w:t>
      </w:r>
    </w:p>
    <w:p w:rsidR="000926F8" w:rsidRDefault="000926F8" w:rsidP="000926F8"/>
    <w:p w:rsidR="000926F8" w:rsidRDefault="000926F8" w:rsidP="000926F8">
      <w:pPr>
        <w:pStyle w:val="NormalWeb"/>
        <w:jc w:val="both"/>
      </w:pPr>
      <w:r>
        <w:t xml:space="preserve">AGÊNCIA NACIONAL DE ENERGIA ELÉTRICA – ANEEL. Base de Dados de Geração Distribuída. Brasília: ANEEL. Disponível em: </w:t>
      </w:r>
      <w:hyperlink r:id="rId8" w:tgtFrame="_new" w:history="1">
        <w:r>
          <w:rPr>
            <w:rStyle w:val="Hyperlink"/>
          </w:rPr>
          <w:t>https://dadosabertos.aneel.gov.br/</w:t>
        </w:r>
      </w:hyperlink>
      <w:r>
        <w:t>. Acesso em: 14 jul. 2025.</w:t>
      </w:r>
    </w:p>
    <w:p w:rsidR="000926F8" w:rsidRDefault="000926F8" w:rsidP="000926F8">
      <w:pPr>
        <w:pStyle w:val="NormalWeb"/>
        <w:jc w:val="both"/>
      </w:pPr>
      <w:r>
        <w:t xml:space="preserve">AGÊNCIA NACIONAL DE ENERGIA ELÉTRICA – ANEEL. Relatório Técnico: Metodologia de Consolidação das Informações de Micro e Minigeração Distribuída. Brasília: ANEEL, 2024. Disponível em: </w:t>
      </w:r>
      <w:hyperlink r:id="rId9" w:tgtFrame="_new" w:history="1">
        <w:r>
          <w:rPr>
            <w:rStyle w:val="Hyperlink"/>
          </w:rPr>
          <w:t>https://www.aneel.gov.br</w:t>
        </w:r>
      </w:hyperlink>
      <w:r>
        <w:t>. Acesso em: 10 jul. 2025.</w:t>
      </w:r>
    </w:p>
    <w:p w:rsidR="000926F8" w:rsidRDefault="000926F8" w:rsidP="000926F8">
      <w:pPr>
        <w:pStyle w:val="NormalWeb"/>
        <w:jc w:val="both"/>
      </w:pPr>
      <w:r>
        <w:t xml:space="preserve">ONS – OPERADOR NACIONAL DO SISTEMA ELÉTRICO. Planejamento da Operação Energética de Médio Prazo (PMO). Rio de Janeiro: ONS, 2024. Disponível em: </w:t>
      </w:r>
      <w:hyperlink r:id="rId10" w:tgtFrame="_new" w:history="1">
        <w:r>
          <w:rPr>
            <w:rStyle w:val="Hyperlink"/>
          </w:rPr>
          <w:t>https://www.ons.org.br</w:t>
        </w:r>
      </w:hyperlink>
      <w:r>
        <w:t>. Acesso em: 12 jul. 2025.</w:t>
      </w:r>
    </w:p>
    <w:p w:rsidR="000926F8" w:rsidRDefault="000926F8" w:rsidP="000926F8">
      <w:pPr>
        <w:pStyle w:val="NormalWeb"/>
        <w:jc w:val="both"/>
      </w:pPr>
      <w:r>
        <w:t xml:space="preserve">EPE – EMPRESA DE PESQUISA ENERGÉTICA. Plano Decenal de Expansão de Energia – PDE 2033. Rio de Janeiro: EPE, 2023. Disponível em: </w:t>
      </w:r>
      <w:hyperlink r:id="rId11" w:tgtFrame="_new" w:history="1">
        <w:r>
          <w:rPr>
            <w:rStyle w:val="Hyperlink"/>
          </w:rPr>
          <w:t>https://www.epe.gov.br</w:t>
        </w:r>
      </w:hyperlink>
      <w:r>
        <w:t>. Acesso em: 10 jul. 2025.</w:t>
      </w:r>
    </w:p>
    <w:p w:rsidR="000926F8" w:rsidRDefault="000926F8" w:rsidP="000926F8">
      <w:pPr>
        <w:pStyle w:val="NormalWeb"/>
        <w:jc w:val="both"/>
      </w:pPr>
      <w:r>
        <w:t xml:space="preserve">GOOGLE EARTH. Plataforma de georreferenciamento baseada em coordenadas geográficas. Google Inc. Disponível em: </w:t>
      </w:r>
      <w:hyperlink r:id="rId12" w:tgtFrame="_new" w:history="1">
        <w:r>
          <w:rPr>
            <w:rStyle w:val="Hyperlink"/>
          </w:rPr>
          <w:t>https://earth.google.com</w:t>
        </w:r>
      </w:hyperlink>
      <w:r>
        <w:t>. Acesso em: 13 jul. 2025.</w:t>
      </w:r>
    </w:p>
    <w:p w:rsidR="000926F8" w:rsidRDefault="000926F8" w:rsidP="000926F8"/>
    <w:p w:rsidR="000926F8" w:rsidRDefault="000926F8" w:rsidP="000926F8">
      <w:r>
        <w:t>.</w:t>
      </w:r>
    </w:p>
    <w:p w:rsidR="000926F8" w:rsidRDefault="000926F8" w:rsidP="000926F8">
      <w:pPr>
        <w:rPr>
          <w:b/>
        </w:rPr>
      </w:pPr>
      <w:bookmarkStart w:id="0" w:name="_GoBack"/>
      <w:bookmarkEnd w:id="0"/>
    </w:p>
    <w:sectPr w:rsidR="000926F8">
      <w:headerReference w:type="first" r:id="rId13"/>
      <w:pgSz w:w="11906" w:h="16838"/>
      <w:pgMar w:top="1701" w:right="1134" w:bottom="1134" w:left="1701" w:header="0" w:footer="709" w:gutter="0"/>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10551" w:rsidRDefault="00410551">
      <w:r>
        <w:separator/>
      </w:r>
    </w:p>
  </w:endnote>
  <w:endnote w:type="continuationSeparator" w:id="0">
    <w:p w:rsidR="00410551" w:rsidRDefault="004105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10551" w:rsidRDefault="00410551">
      <w:r>
        <w:separator/>
      </w:r>
    </w:p>
  </w:footnote>
  <w:footnote w:type="continuationSeparator" w:id="0">
    <w:p w:rsidR="00410551" w:rsidRDefault="00410551">
      <w:r>
        <w:continuationSeparator/>
      </w:r>
    </w:p>
  </w:footnote>
  <w:footnote w:id="1">
    <w:p w:rsidR="000926F8" w:rsidRDefault="000926F8" w:rsidP="000926F8">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Engenharia Inovação. apoloft@yahoo.com.br</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0280" w:rsidRDefault="00190280">
    <w:pPr>
      <w:pBdr>
        <w:top w:val="nil"/>
        <w:left w:val="nil"/>
        <w:bottom w:val="nil"/>
        <w:right w:val="nil"/>
        <w:between w:val="nil"/>
      </w:pBdr>
      <w:tabs>
        <w:tab w:val="center" w:pos="4252"/>
        <w:tab w:val="right" w:pos="8504"/>
      </w:tabs>
      <w:ind w:left="-1701"/>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0280"/>
    <w:rsid w:val="000926F8"/>
    <w:rsid w:val="001410CE"/>
    <w:rsid w:val="00190280"/>
    <w:rsid w:val="002D64C8"/>
    <w:rsid w:val="002F0D5C"/>
    <w:rsid w:val="0031731B"/>
    <w:rsid w:val="00410551"/>
    <w:rsid w:val="0050293A"/>
    <w:rsid w:val="006C368C"/>
    <w:rsid w:val="00831112"/>
    <w:rsid w:val="00937AA9"/>
    <w:rsid w:val="009F00F2"/>
    <w:rsid w:val="00C40641"/>
    <w:rsid w:val="00DA7BF4"/>
    <w:rsid w:val="00F8003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E42E6BC-0E3E-43EB-9EEA-62CC1BC9E5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pt-BR" w:eastAsia="pt-BR"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rPr>
  </w:style>
  <w:style w:type="paragraph" w:styleId="Ttulo5">
    <w:name w:val="heading 5"/>
    <w:basedOn w:val="Normal"/>
    <w:next w:val="Normal"/>
    <w:pPr>
      <w:keepNext/>
      <w:keepLines/>
      <w:spacing w:before="220" w:after="40"/>
      <w:outlineLvl w:val="4"/>
    </w:pPr>
    <w:rPr>
      <w:b/>
      <w:sz w:val="22"/>
      <w:szCs w:val="22"/>
    </w:rPr>
  </w:style>
  <w:style w:type="paragraph" w:styleId="Ttulo6">
    <w:name w:val="heading 6"/>
    <w:basedOn w:val="Normal"/>
    <w:next w:val="Normal"/>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Cabealho">
    <w:name w:val="header"/>
    <w:basedOn w:val="Normal"/>
    <w:link w:val="CabealhoChar"/>
    <w:uiPriority w:val="99"/>
    <w:unhideWhenUsed/>
    <w:rsid w:val="001C7E78"/>
    <w:pPr>
      <w:tabs>
        <w:tab w:val="center" w:pos="4252"/>
        <w:tab w:val="right" w:pos="8504"/>
      </w:tabs>
    </w:pPr>
  </w:style>
  <w:style w:type="character" w:customStyle="1" w:styleId="CabealhoChar">
    <w:name w:val="Cabeçalho Char"/>
    <w:basedOn w:val="Fontepargpadro"/>
    <w:link w:val="Cabealho"/>
    <w:uiPriority w:val="99"/>
    <w:rsid w:val="001C7E78"/>
  </w:style>
  <w:style w:type="paragraph" w:styleId="Rodap">
    <w:name w:val="footer"/>
    <w:basedOn w:val="Normal"/>
    <w:link w:val="RodapChar"/>
    <w:uiPriority w:val="99"/>
    <w:unhideWhenUsed/>
    <w:rsid w:val="001C7E78"/>
    <w:pPr>
      <w:tabs>
        <w:tab w:val="center" w:pos="4252"/>
        <w:tab w:val="right" w:pos="8504"/>
      </w:tabs>
    </w:pPr>
  </w:style>
  <w:style w:type="character" w:customStyle="1" w:styleId="RodapChar">
    <w:name w:val="Rodapé Char"/>
    <w:basedOn w:val="Fontepargpadro"/>
    <w:link w:val="Rodap"/>
    <w:uiPriority w:val="99"/>
    <w:rsid w:val="001C7E78"/>
  </w:style>
  <w:style w:type="paragraph" w:styleId="PargrafodaLista">
    <w:name w:val="List Paragraph"/>
    <w:basedOn w:val="Normal"/>
    <w:uiPriority w:val="34"/>
    <w:qFormat/>
    <w:rsid w:val="001C7E78"/>
    <w:pPr>
      <w:ind w:left="720"/>
      <w:contextualSpacing/>
    </w:pPr>
  </w:style>
  <w:style w:type="table" w:styleId="Tabelacomgrade">
    <w:name w:val="Table Grid"/>
    <w:basedOn w:val="Tabelanormal"/>
    <w:uiPriority w:val="39"/>
    <w:rsid w:val="00084E0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notaderodap">
    <w:name w:val="footnote text"/>
    <w:basedOn w:val="Normal"/>
    <w:link w:val="TextodenotaderodapChar"/>
    <w:uiPriority w:val="99"/>
    <w:semiHidden/>
    <w:unhideWhenUsed/>
    <w:rsid w:val="00C1750A"/>
    <w:rPr>
      <w:sz w:val="20"/>
      <w:szCs w:val="20"/>
    </w:rPr>
  </w:style>
  <w:style w:type="character" w:customStyle="1" w:styleId="TextodenotaderodapChar">
    <w:name w:val="Texto de nota de rodapé Char"/>
    <w:basedOn w:val="Fontepargpadro"/>
    <w:link w:val="Textodenotaderodap"/>
    <w:uiPriority w:val="99"/>
    <w:semiHidden/>
    <w:rsid w:val="00C1750A"/>
    <w:rPr>
      <w:sz w:val="20"/>
      <w:szCs w:val="20"/>
    </w:rPr>
  </w:style>
  <w:style w:type="character" w:styleId="Refdenotaderodap">
    <w:name w:val="footnote reference"/>
    <w:basedOn w:val="Fontepargpadro"/>
    <w:uiPriority w:val="99"/>
    <w:semiHidden/>
    <w:unhideWhenUsed/>
    <w:rsid w:val="00C1750A"/>
    <w:rPr>
      <w:vertAlign w:val="superscript"/>
    </w:rPr>
  </w:style>
  <w:style w:type="character" w:styleId="Hyperlink">
    <w:name w:val="Hyperlink"/>
    <w:basedOn w:val="Fontepargpadro"/>
    <w:uiPriority w:val="99"/>
    <w:unhideWhenUsed/>
    <w:rsid w:val="004263BE"/>
    <w:rPr>
      <w:color w:val="0563C1" w:themeColor="hyperlink"/>
      <w:u w:val="single"/>
    </w:rPr>
  </w:style>
  <w:style w:type="character" w:customStyle="1" w:styleId="UnresolvedMention">
    <w:name w:val="Unresolved Mention"/>
    <w:basedOn w:val="Fontepargpadro"/>
    <w:uiPriority w:val="99"/>
    <w:semiHidden/>
    <w:unhideWhenUsed/>
    <w:rsid w:val="004263BE"/>
    <w:rPr>
      <w:color w:val="605E5C"/>
      <w:shd w:val="clear" w:color="auto" w:fill="E1DFDD"/>
    </w:rPr>
  </w:style>
  <w:style w:type="table" w:customStyle="1" w:styleId="a">
    <w:basedOn w:val="TableNormal0"/>
    <w:tblPr>
      <w:tblStyleRowBandSize w:val="1"/>
      <w:tblStyleColBandSize w:val="1"/>
      <w:tblCellMar>
        <w:left w:w="108" w:type="dxa"/>
        <w:right w:w="108" w:type="dxa"/>
      </w:tblCellMar>
    </w:tbl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0">
    <w:basedOn w:val="TableNormal0"/>
    <w:tblPr>
      <w:tblStyleRowBandSize w:val="1"/>
      <w:tblStyleColBandSize w:val="1"/>
      <w:tblCellMar>
        <w:left w:w="108" w:type="dxa"/>
        <w:right w:w="108" w:type="dxa"/>
      </w:tblCellMar>
    </w:tblPr>
  </w:style>
  <w:style w:type="paragraph" w:styleId="NormalWeb">
    <w:name w:val="Normal (Web)"/>
    <w:basedOn w:val="Normal"/>
    <w:uiPriority w:val="99"/>
    <w:unhideWhenUsed/>
    <w:rsid w:val="000926F8"/>
    <w:pPr>
      <w:spacing w:before="100" w:beforeAutospacing="1" w:after="100" w:afterAutospacing="1"/>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s://dadosabertos.aneel.gov.br/"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earth.google.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ww.epe.gov.br"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ons.org.br" TargetMode="External"/><Relationship Id="rId4" Type="http://schemas.openxmlformats.org/officeDocument/2006/relationships/webSettings" Target="webSettings.xml"/><Relationship Id="rId9" Type="http://schemas.openxmlformats.org/officeDocument/2006/relationships/hyperlink" Target="https://www.aneel.gov.br" TargetMode="External"/><Relationship Id="rId1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oyB4BX+FILTg3/QXvNYD2tSRggQ==">CgMxLjA4AHIhMWVtSWNya1VmUFNZLWlmSXlZWEFPRlNXcTRfT2U5Rllu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6</Pages>
  <Words>2825</Words>
  <Characters>15261</Characters>
  <Application>Microsoft Office Word</Application>
  <DocSecurity>0</DocSecurity>
  <Lines>127</Lines>
  <Paragraphs>36</Paragraphs>
  <ScaleCrop>false</ScaleCrop>
  <Company/>
  <LinksUpToDate>false</LinksUpToDate>
  <CharactersWithSpaces>18050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Frank Toshioka</dc:creator>
  <cp:lastModifiedBy>FRANK</cp:lastModifiedBy>
  <cp:revision>12</cp:revision>
  <dcterms:created xsi:type="dcterms:W3CDTF">2024-07-12T18:25:00Z</dcterms:created>
  <dcterms:modified xsi:type="dcterms:W3CDTF">2025-07-15T00:54:00Z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06dbf39e-ba9e-426c-817a-2e71d8ab39da</vt:lpwstr>
  </property>
</Properties>
</file>