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REGRAS PARA ORGANIZAÇÃO DO RESUMO 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firstLine="349.00000000000006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Os resumos podem estar em português, inglês ou espanhol, e de acordo com as regras de formatação descritas a seguir.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firstLine="349.00000000000006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 texto do documento deve ser formatado em editor de textos Word 2003-2007 (modo de compatibilidade) ou superior, com as seguintes definições: papel A4 (29,7cm x 21 cm), orientação da página: vertical; margens: superior, inferior, direita e esquerda de 3 cm.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Todas as seções serão escritas em 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4"/>
          <w:szCs w:val="24"/>
          <w:rtl w:val="0"/>
        </w:rPr>
        <w:t xml:space="preserve">Arial, 12, espaço simples e alinhamento justificado,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exceto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 título do resumo que será em tamanho 14 –, letras maiúsculas, em negrito, centralizado e com no máximo 20 palavras.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Sua extensão deve conter no máximo 400 palavras, contemplando todas as seções solicitadas abaixo, exceto o título e os descritores. Não serão aceitos no resumo, imagens, tabelas, quadros e gráficos. Deverá conter até 3 referências bibliográficas. As refer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ências devem ser formatadas conforme  as normas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NLM (Vancouver): </w:t>
      </w:r>
      <w:hyperlink r:id="rId7">
        <w:r w:rsidDel="00000000" w:rsidR="00000000" w:rsidRPr="00000000">
          <w:rPr>
            <w:rFonts w:ascii="Arial" w:cs="Arial" w:eastAsia="Arial" w:hAnsi="Arial"/>
            <w:color w:val="0000ff"/>
            <w:sz w:val="24"/>
            <w:szCs w:val="24"/>
            <w:u w:val="single"/>
            <w:rtl w:val="0"/>
          </w:rPr>
          <w:t xml:space="preserve">https://usp.br/sddarquivos/arquivos/vancouver.pdf</w:t>
        </w:r>
      </w:hyperlink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 resumo deverá apresentar as informações gerais sobre a pesquisa, fundamentando seu interesse, contribuição para o conhecimento acadêmico-científico e os resultados relevantes encontrados. Seu objetivo é informar e colocar o leitor a par do conhecimento já existente sobre o tema que será abordado.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Deverá contemplar as seções de Introdução, Método, Resultados e Conclusão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e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Referências. A descrição, apesar de sucinta, deverá ser clara, permitindo ao leitor compreender, perfeitamente, o procedimento adotado.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Após a seção de Conclusão, deverá ser posicionada a seção de Descritores, indicar 03 (três)  descritores de acordo com o DeCS (</w:t>
      </w:r>
      <w:hyperlink r:id="rId8">
        <w:r w:rsidDel="00000000" w:rsidR="00000000" w:rsidRPr="00000000">
          <w:rPr>
            <w:rFonts w:ascii="Arial" w:cs="Arial" w:eastAsia="Arial" w:hAnsi="Arial"/>
            <w:color w:val="0000ff"/>
            <w:sz w:val="24"/>
            <w:szCs w:val="24"/>
            <w:u w:val="single"/>
            <w:rtl w:val="0"/>
          </w:rPr>
          <w:t xml:space="preserve">https://decs.bvsalud.org/</w:t>
        </w:r>
      </w:hyperlink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) ou MeSH Terms (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4"/>
            <w:szCs w:val="24"/>
            <w:u w:val="single"/>
            <w:rtl w:val="0"/>
          </w:rPr>
          <w:t xml:space="preserve">https://www.ncbi.nlm.nih.gov/mesh/</w:t>
        </w:r>
      </w:hyperlink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Nas  pesquisas envolvendo seres humanos será obrigatório constar no método, a aprovação pelo Comitê de Ética em Pesquisa (Número do Parecer).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Os trabalhos poderão ter no máximo 6 (seis) autores incluindo o relator. O relator poderá inscrever no máximo 2 trabalhos para apresentação.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Resumos fora das normas estabelecidas serão automaticamente excluídos.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segunda página deste documento apresenta um modelo de redação do resumo.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hanging="360"/>
        <w:jc w:val="both"/>
        <w:rPr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terceira página apresenta um exemplo de resumo.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DIRETRIZES DE CONTEÚDO POR EIXO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Os resumos devem estar em consonância com um dos Eixos Temáticos (ET) abaixo.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hanging="360"/>
        <w:jc w:val="both"/>
        <w:rPr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ET1. Tecnologias de Cuidado em Enfermagem Psiquiátrica e Saúde Mental </w:t>
      </w:r>
      <w:r w:rsidDel="00000000" w:rsidR="00000000" w:rsidRPr="00000000">
        <w:rPr>
          <w:rFonts w:ascii="Arial" w:cs="Arial" w:eastAsia="Arial" w:hAnsi="Arial"/>
          <w:b w:val="1"/>
          <w:color w:val="ff0000"/>
          <w:rtl w:val="0"/>
        </w:rPr>
        <w:t xml:space="preserve">e em Adições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Desenvolvimento e implementação de tecnologias de cuidado em Enfermagem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Psiquiátrica e Saúde Mental e em Adições</w:t>
      </w:r>
      <w:r w:rsidDel="00000000" w:rsidR="00000000" w:rsidRPr="00000000">
        <w:rPr>
          <w:rFonts w:ascii="Arial" w:cs="Arial" w:eastAsia="Arial" w:hAnsi="Arial"/>
          <w:rtl w:val="0"/>
        </w:rPr>
        <w:t xml:space="preserve">. Uso de ferramentas digitais, aplicativos de saúde mental, telemedicina e inteligência artificial no cuidado em saúde mental.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ET2. Ensino e Formação em Enfermagem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  <w:rtl w:val="0"/>
        </w:rPr>
        <w:t xml:space="preserve">Psiquiátrica e Saúde Mental e em Adições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 Mundo Pós-Pandemia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Metodologias de ensino: Adaptação e inovação no ensino de enfermagem psiquiátrica e saúde mental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e em adições</w:t>
      </w:r>
      <w:r w:rsidDel="00000000" w:rsidR="00000000" w:rsidRPr="00000000">
        <w:rPr>
          <w:rFonts w:ascii="Arial" w:cs="Arial" w:eastAsia="Arial" w:hAnsi="Arial"/>
          <w:rtl w:val="0"/>
        </w:rPr>
        <w:t xml:space="preserve">. Desafios e soluções na formação: Formação de competências clínicas e tecnológicas em ambientes virtuais e simulações. Educação contínua e capacitação: Programas de atualização e capacitação para enfermeiros na área de saúde mental e adições.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hanging="36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ET3. Pesquisa em Saúde Mental e Adições no Contexto Pós-Pandêmico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Impactos da pandemia: Estudos sobre os efeitos da COVID-19 na saúde mental da população e nos profissionais de saúde. Desenvolvimento de novas intervenções: Pesquisa e avaliação de novas intervenções tecnológicas e terapêuticas em saúde mental e adições.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hanging="36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ET4. Cuidado Integral e Interdisciplinaridade na Saúde Mental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Interdisciplinaridade no cuidado: Colaboração entre profissionais de saúde no cuidado de pacientes com transtornos mentais e adições. Atenção à diversidade e equidade: Abordagem das desigualdades no acesso e na qualidade do cuidado em saúde mental, especialmente em populações vulneráveis.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hanging="360"/>
        <w:jc w:val="both"/>
        <w:rPr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ET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5. Desafios e Perspectivas Futuras na Enfermagem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Psiquiátrica e Saúde Mental </w:t>
      </w:r>
      <w:r w:rsidDel="00000000" w:rsidR="00000000" w:rsidRPr="00000000">
        <w:rPr>
          <w:rFonts w:ascii="Arial" w:cs="Arial" w:eastAsia="Arial" w:hAnsi="Arial"/>
          <w:b w:val="1"/>
          <w:color w:val="ff0000"/>
          <w:rtl w:val="0"/>
        </w:rPr>
        <w:t xml:space="preserve">e em Adições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80" w:lineRule="auto"/>
        <w:ind w:left="36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Adaptação às novas realidades: Como a enfermagem psiquiátrica está se adaptando às mudanças no cenário pós-pandemia. Políticas públicas e advocacy: O papel da enfermagem na formulação de políticas públicas em saúde mental e adições. Futuro do cuidado em saúde mental: Tendências emergentes e futuras direções na prática, ensino e pesquisa em enfermagem psiquiátrica.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1"/>
        <w:spacing w:after="240" w:before="240" w:lineRule="auto"/>
        <w:jc w:val="center"/>
        <w:rPr>
          <w:rFonts w:ascii="Arial" w:cs="Arial" w:eastAsia="Arial" w:hAnsi="Arial"/>
          <w:i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mallCaps w:val="1"/>
          <w:sz w:val="28"/>
          <w:szCs w:val="28"/>
          <w:rtl w:val="0"/>
        </w:rPr>
        <w:t xml:space="preserve">ISOLAMENTO SOCIAL E SAÚDE MENTAL: REFLEXÕES  APÓS A PANDEMIA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ind w:left="709" w:firstLine="0"/>
        <w:jc w:val="both"/>
        <w:rPr>
          <w:rFonts w:ascii="Arial" w:cs="Arial" w:eastAsia="Arial" w:hAnsi="Arial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Rule="auto"/>
        <w:ind w:left="284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INTRODUÇÃO: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Durante  a  pandemia  da COVID-19,  as  medidas  tomadas  para  a prevenção  da  doença, como  isolamento  social,  trouxeram  mudanças  nos  padrões  de comportamento da população, elevando o nível de estresse e ansiedade em pessoas saudáveis e aumentou os sintomas em pessoas que já possuíam algum transtorno mental pré-existente. Isso corroborou para o aumento de transtornos psíquicos durante a pandemia e aumentou o consumo de psicoativos de forma abusiva (Galloni et al., 2021). Para Stockwell et al. (2021), o aumento no consumo de álcool durante o período de isolamento social forçado foi maior, consistindo em um fator de risco significativo para depressão e suicídio.</w:t>
      </w:r>
    </w:p>
    <w:p w:rsidR="00000000" w:rsidDel="00000000" w:rsidP="00000000" w:rsidRDefault="00000000" w:rsidRPr="00000000" w14:paraId="00000024">
      <w:pPr>
        <w:spacing w:after="0" w:lineRule="auto"/>
        <w:ind w:left="0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Rule="auto"/>
        <w:ind w:left="284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MÉTODO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Trata-se de um relato de experiência que não envolve pesquisa com seres humanos, por isso dispensa apreciação de comitês de ética conforme determinam a Lei nº 14.874/2024 e a Resolução Brasileira 510/2016.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Rule="auto"/>
        <w:ind w:left="284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Rule="auto"/>
        <w:ind w:left="284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RESULTADOS: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Todas as transições ocorridas no cenário pandêmico levaram a perda das rotinas da população, ocasionando uma redução significativa no contato social e físico com outras pessoas, que acarretou em aumento da sensação de desamparo e angústia e em sofrimento psíquico. Ademais, evidenciou-se a intensidade do sofrimento psíquico da população, assim como o aumento dos casos de sofrimento mental decorrente do uso de substâncias psicoativas, principalmente a partir da dificuldade de acesso aos serviços de saúde. </w:t>
      </w:r>
    </w:p>
    <w:p w:rsidR="00000000" w:rsidDel="00000000" w:rsidP="00000000" w:rsidRDefault="00000000" w:rsidRPr="00000000" w14:paraId="00000028">
      <w:pPr>
        <w:spacing w:after="0" w:lineRule="auto"/>
        <w:ind w:left="284" w:firstLine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Rule="auto"/>
        <w:ind w:left="284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CONCLUSÃO: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Os resultados desta análise evidenciaram que os objetivos propostos foram alcançados, uma vez que foi possível identificar os impactos significativos da pandemia de COVID-19 na saúde mental da população. O isolamento social, a perda das rotinas e o aumento no consumo de substâncias psicoativas contribuíram para o agravamento dos transtornos psíquicos, reforçando o risco de condições como depressão e suicídio. Essas constatações apontam para a importância de políticas públicas voltadas ao suporte psicossocial e à promoção da saúde mental em cenários de crise, assim como para a necessidade de novos estudos que ampliem o entendimento sobre os mecanismos de enfrentamento nesses contextos.</w:t>
      </w:r>
    </w:p>
    <w:p w:rsidR="00000000" w:rsidDel="00000000" w:rsidP="00000000" w:rsidRDefault="00000000" w:rsidRPr="00000000" w14:paraId="0000002A">
      <w:pPr>
        <w:spacing w:after="0" w:lineRule="auto"/>
        <w:ind w:left="284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Rule="auto"/>
        <w:ind w:left="284" w:firstLine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84" w:firstLine="0"/>
        <w:jc w:val="both"/>
        <w:rPr>
          <w:rFonts w:ascii="Arial" w:cs="Arial" w:eastAsia="Arial" w:hAnsi="Arial"/>
          <w:b w:val="1"/>
          <w:color w:val="2125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DESCRITORES: </w:t>
      </w:r>
      <w:r w:rsidDel="00000000" w:rsidR="00000000" w:rsidRPr="00000000">
        <w:rPr>
          <w:rFonts w:ascii="Arial" w:cs="Arial" w:eastAsia="Arial" w:hAnsi="Arial"/>
          <w:b w:val="1"/>
          <w:color w:val="212529"/>
          <w:sz w:val="24"/>
          <w:szCs w:val="24"/>
          <w:highlight w:val="white"/>
          <w:rtl w:val="0"/>
        </w:rPr>
        <w:t xml:space="preserve">COVID-19; </w:t>
      </w:r>
      <w:r w:rsidDel="00000000" w:rsidR="00000000" w:rsidRPr="00000000">
        <w:rPr>
          <w:rFonts w:ascii="Arial" w:cs="Arial" w:eastAsia="Arial" w:hAnsi="Arial"/>
          <w:b w:val="1"/>
          <w:color w:val="212529"/>
          <w:sz w:val="24"/>
          <w:szCs w:val="24"/>
          <w:rtl w:val="0"/>
        </w:rPr>
        <w:t xml:space="preserve">Assistência à Saúde Mental; Enfermagem Psiquiátrica. </w:t>
      </w:r>
    </w:p>
    <w:p w:rsidR="00000000" w:rsidDel="00000000" w:rsidP="00000000" w:rsidRDefault="00000000" w:rsidRPr="00000000" w14:paraId="0000002D">
      <w:pPr>
        <w:spacing w:after="0" w:lineRule="auto"/>
        <w:ind w:left="284" w:firstLine="0"/>
        <w:jc w:val="both"/>
        <w:rPr>
          <w:rFonts w:ascii="Arial" w:cs="Arial" w:eastAsia="Arial" w:hAnsi="Arial"/>
          <w:b w:val="1"/>
          <w:color w:val="2125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701" w:top="1701" w:left="1701" w:right="1701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ourier New"/>
  <w:font w:name="Liberation San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320"/>
      </w:tabs>
      <w:ind w:left="-1701" w:right="-1701" w:firstLine="0"/>
      <w:jc w:val="right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7679577" cy="1125305"/>
          <wp:effectExtent b="0" l="0" r="0" t="0"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</w:rPr>
      <mc:AlternateContent>
        <mc:Choice Requires="wpg">
          <w:drawing>
            <wp:inline distB="0" distT="0" distL="0" distR="0">
              <wp:extent cx="323850" cy="323850"/>
              <wp:effectExtent b="0" l="0" r="0" t="0"/>
              <wp:docPr id="5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inline>
          </w:drawing>
        </mc:Choice>
        <mc:Fallback>
          <w:drawing>
            <wp:inline distB="0" distT="0" distL="0" distR="0">
              <wp:extent cx="323850" cy="323850"/>
              <wp:effectExtent b="0" l="0" r="0" t="0"/>
              <wp:docPr id="5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23850" cy="323850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ncbi.nlm.nih.gov/mesh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usp.br/sddarquivos/arquivos/vancouver.pdf" TargetMode="External"/><Relationship Id="rId8" Type="http://schemas.openxmlformats.org/officeDocument/2006/relationships/hyperlink" Target="https://decs.bvsalud.org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FSdZ288YEl/R9rn0vbtxsfQBfA==">CgMxLjA4AHIhMTBKMktVcktfak8wczFISm9ZQkJtU0N1MG1Sd05Bc3ZG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